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240" w:lineRule="auto"/>
      </w:pPr>
      <w:r>
        <w:rPr>
          <w:rFonts w:ascii="Lato" w:hAnsi="Lato" w:eastAsia="Lato"/>
          <w:b/>
          <w:color w:val="0B2A55"/>
          <w:sz w:val="58"/>
        </w:rPr>
        <w:t>Single-Subject Study Homeschool Plan</w:t>
      </w:r>
    </w:p>
    <w:p>
      <w:pPr>
        <w:spacing w:before="0" w:after="160" w:line="240" w:lineRule="auto"/>
      </w:pPr>
      <w:r>
        <w:rPr>
          <w:rFonts w:ascii="Lato" w:hAnsi="Lato" w:eastAsia="Lato"/>
          <w:color w:val="24344D"/>
          <w:sz w:val="22"/>
        </w:rPr>
        <w:t>An eighteen-week subject-focused plan for strengthening one area, adding an elective, or completing a concentrated semester course.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  <w:gridCol w:w="3600"/>
      </w:tblGrid>
      <w:tr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18 weeks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Suggested duration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Grade-flexible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Adapt to the learner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3-5 sessions/week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Recommended rhythm</w:t>
            </w:r>
          </w:p>
        </w:tc>
        <w:tc>
          <w:tcPr>
            <w:tcW w:type="dxa" w:w="3528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shd w:fill="FFF6E2" w:val="clear"/>
            <w:tcMar>
              <w:top w:w="100" w:type="dxa"/>
              <w:start w:w="90" w:type="dxa"/>
              <w:bottom w:w="95" w:type="dxa"/>
              <w:end w:w="90" w:type="dxa"/>
            </w:tcMar>
            <w:vAlign w:val="center"/>
          </w:tcPr>
          <w:p>
            <w:pPr>
              <w:spacing w:before="0" w:after="20" w:line="240" w:lineRule="auto"/>
              <w:jc w:val="center"/>
            </w:pPr>
            <w:r>
              <w:rPr>
                <w:rFonts w:ascii="Lato" w:hAnsi="Lato" w:eastAsia="Lato"/>
                <w:b/>
                <w:color w:val="D59600"/>
                <w:sz w:val="26"/>
              </w:rPr>
              <w:t>Evidence-based</w:t>
            </w:r>
          </w:p>
          <w:p>
            <w:pPr>
              <w:spacing w:before="0" w:after="0" w:line="240" w:lineRule="auto"/>
              <w:jc w:val="center"/>
            </w:pPr>
            <w:r>
              <w:rPr>
                <w:rFonts w:ascii="Lato" w:hAnsi="Lato" w:eastAsia="Lato"/>
                <w:color w:val="24344D"/>
                <w:sz w:val="16"/>
              </w:rPr>
              <w:t>Use checks and work samples</w:t>
            </w:r>
          </w:p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FFF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BEST FOR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Families adding one subject without a full curriculum change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Students pursuing a focused interest or elective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color w:val="24344D"/>
                <w:sz w:val="17"/>
              </w:rPr>
              <w:t>• Learners who need concentrated practice in one academic domain</w:t>
            </w:r>
          </w:p>
        </w:tc>
        <w:tc>
          <w:tcPr>
            <w:tcW w:type="dxa" w:w="7200"/>
            <w:tcBorders>
              <w:top w:val="single" w:sz="6" w:color="D7E1EC"/>
              <w:left w:val="single" w:sz="6" w:color="D7E1EC"/>
              <w:bottom w:val="single" w:sz="6" w:color="D7E1EC"/>
              <w:right w:val="single" w:sz="6" w:color="D7E1EC"/>
            </w:tcBorders>
            <w:tcMar>
              <w:top w:w="110" w:type="dxa"/>
              <w:start w:w="135" w:type="dxa"/>
              <w:bottom w:w="100" w:type="dxa"/>
              <w:end w:w="135" w:type="dxa"/>
            </w:tcMar>
            <w:shd w:fill="FFF6E2" w:val="clear"/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HOW TO USE IT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1  </w:t>
            </w:r>
            <w:r>
              <w:rPr>
                <w:rFonts w:ascii="Lato" w:hAnsi="Lato" w:eastAsia="Lato"/>
                <w:color w:val="24344D"/>
                <w:sz w:val="17"/>
              </w:rPr>
              <w:t>Choose one clear goal and a realistic schedule.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2  </w:t>
            </w:r>
            <w:r>
              <w:rPr>
                <w:rFonts w:ascii="Lato" w:hAnsi="Lato" w:eastAsia="Lato"/>
                <w:color w:val="24344D"/>
                <w:sz w:val="17"/>
              </w:rPr>
              <w:t>Use a brief baseline check instead of guessing.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3  </w:t>
            </w:r>
            <w:r>
              <w:rPr>
                <w:rFonts w:ascii="Lato" w:hAnsi="Lato" w:eastAsia="Lato"/>
                <w:color w:val="24344D"/>
                <w:sz w:val="17"/>
              </w:rPr>
              <w:t>Teach, practice, apply, and review in a repeatable cycle.</w:t>
            </w:r>
          </w:p>
          <w:p>
            <w:pPr>
              <w:spacing w:before="0" w:after="10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 xml:space="preserve">4  </w:t>
            </w:r>
            <w:r>
              <w:rPr>
                <w:rFonts w:ascii="Lato" w:hAnsi="Lato" w:eastAsia="Lato"/>
                <w:color w:val="24344D"/>
                <w:sz w:val="17"/>
              </w:rPr>
              <w:t>Keep work samples and adjust the next week from evidence.</w:t>
            </w:r>
          </w:p>
        </w:tc>
      </w:tr>
    </w:tbl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PLANNING NOTE: </w:t>
      </w:r>
      <w:r>
        <w:rPr>
          <w:rFonts w:ascii="Lato" w:hAnsi="Lato" w:eastAsia="Lato"/>
          <w:i/>
          <w:color w:val="5E6B7D"/>
          <w:sz w:val="16"/>
        </w:rPr>
        <w:t>Specialty plans supplement a grade-level plan. They do not replace local homeschool, attendance, assessment, or graduation requirements.</w:t>
      </w:r>
    </w:p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Single-Subject Cycle | Weeks 1-9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Choose the column that best matches the subject, then adapt the unit topics to the learner’s grade or course.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rPr>
          <w:tblHeader w:val="true"/>
        </w:trPr>
        <w:tc>
          <w:tcPr>
            <w:tcW w:type="dxa" w:w="691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880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Study Phase</w:t>
            </w:r>
          </w:p>
        </w:tc>
        <w:tc>
          <w:tcPr>
            <w:tcW w:type="dxa" w:w="3528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 / Quantitative</w:t>
            </w:r>
          </w:p>
        </w:tc>
        <w:tc>
          <w:tcPr>
            <w:tcW w:type="dxa" w:w="3528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Language</w:t>
            </w:r>
          </w:p>
        </w:tc>
        <w:tc>
          <w:tcPr>
            <w:tcW w:type="dxa" w:w="3671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 / Social Studies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Baseline, goal, materials, and learning contract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a baseline; choose 2-4 priority strands; set evidence criteria.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Collect a reading/writing sample; choose text and product goals.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objectives, materials, safety needs, and a final product.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2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1: key ideas and vocabulary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Model examples and representations; build a concept map.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an anchor text; annotate ideas and language.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phenomena, sources, maps, data, or artifacts.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3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1: guided skill practice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guided practice with immediate feedback.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comprehension, discussion, grammar, or craft.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disciplinary methods: investigation, sourcing, mapping, or analysis.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4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1: application and explanation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Solve unfamiliar tasks and explain decisions.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or speak from evidence; compare perspectives.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evidence to explain, argue, design, or interpret.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5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1: authentic task or investigation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learning to finance, data, design, or real problems.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Create for an audience: essay, story, podcast, or presentation.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lab, inquiry, field study, debate, or source set.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6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1 checkpoint and revision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Check mastery, revise errors, and select the next target.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Conference, revise, and archive a polished sample.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Assess concepts and practices; revise the model or claim.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7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2: key ideas and vocabulary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a short diagnostic and define one semester outcome.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Select reading level, writing expectations, and vocabulary supports.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standards or course objectives and organize materials.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8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2: guided skill practice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Model examples and representations; build a concept map.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an anchor text; annotate ideas and language.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phenomena, sources, maps, data, or artifacts.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9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2: application and explanation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guided practice with immediate feedback.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comprehension, discussion, grammar, or craft.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disciplinary methods: investigation, sourcing, mapping, or analysis.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START  </w:t>
            </w:r>
            <w:r>
              <w:rPr>
                <w:rFonts w:ascii="Lato" w:hAnsi="Lato" w:eastAsia="Lato"/>
                <w:color w:val="24344D"/>
                <w:sz w:val="15"/>
              </w:rPr>
              <w:t>Use a baseline and one clear semester outcome.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BUILD  </w:t>
            </w:r>
            <w:r>
              <w:rPr>
                <w:rFonts w:ascii="Lato" w:hAnsi="Lato" w:eastAsia="Lato"/>
                <w:color w:val="24344D"/>
                <w:sz w:val="15"/>
              </w:rPr>
              <w:t>Teach, practice, apply, and checkpoint in a repeatable cycle.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SAVE  </w:t>
            </w:r>
            <w:r>
              <w:rPr>
                <w:rFonts w:ascii="Lato" w:hAnsi="Lato" w:eastAsia="Lato"/>
                <w:color w:val="24344D"/>
                <w:sz w:val="15"/>
              </w:rPr>
              <w:t>Keep one useful work sample from each phase.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Single-Subject Cycle | Weeks 10-18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Complete Unit 2, build Unit 3, and finish with a capstone, reflection, and continuation plan.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80"/>
        <w:gridCol w:w="2880"/>
        <w:gridCol w:w="2880"/>
        <w:gridCol w:w="2880"/>
        <w:gridCol w:w="2880"/>
      </w:tblGrid>
      <w:tr>
        <w:trPr>
          <w:tblHeader w:val="true"/>
        </w:trPr>
        <w:tc>
          <w:tcPr>
            <w:tcW w:type="dxa" w:w="691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Week</w:t>
            </w:r>
          </w:p>
        </w:tc>
        <w:tc>
          <w:tcPr>
            <w:tcW w:type="dxa" w:w="2880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Study Phase</w:t>
            </w:r>
          </w:p>
        </w:tc>
        <w:tc>
          <w:tcPr>
            <w:tcW w:type="dxa" w:w="3528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Math / Quantitative</w:t>
            </w:r>
          </w:p>
        </w:tc>
        <w:tc>
          <w:tcPr>
            <w:tcW w:type="dxa" w:w="3528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English / Language</w:t>
            </w:r>
          </w:p>
        </w:tc>
        <w:tc>
          <w:tcPr>
            <w:tcW w:type="dxa" w:w="3671"/>
            <w:shd w:fill="D59600" w:val="clear"/>
            <w:tcMar>
              <w:top w:w="65" w:type="dxa"/>
              <w:start w:w="55" w:type="dxa"/>
              <w:bottom w:w="65" w:type="dxa"/>
              <w:end w:w="55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jc w:val="center"/>
            </w:pPr>
            <w:r>
              <w:rPr>
                <w:rFonts w:ascii="Lato" w:hAnsi="Lato" w:eastAsia="Lato"/>
                <w:b/>
                <w:color w:val="FFFFFF"/>
                <w:sz w:val="16"/>
              </w:rPr>
              <w:t>Science / Social Studies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10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2: authentic task or investigation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Solve unfamiliar tasks and explain decisions.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or speak from evidence; compare perspectives.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evidence to explain, argue, design, or interpret.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11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2 checkpoint and revision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Apply learning to finance, data, design, or real problems.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Create for an audience: essay, story, podcast, or presentation.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lab, inquiry, field study, debate, or source set.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12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Midcourse portfolio and next-step plan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Review progress data; adjust scope and pacing.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Review reading volume, writing quality, and independence.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Review concept mastery, practice use, and source quality.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13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3: key ideas and vocabulary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a short diagnostic and define one semester outcome.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Select reading level, writing expectations, and vocabulary supports.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Choose standards or course objectives and organize materials.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14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3: guided skill practice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Model examples and representations; build a concept map.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Read an anchor text; annotate ideas and language.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Observe phenomena, sources, maps, data, or artifacts.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15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3: application and explanation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guided practice with immediate feedback.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comprehension, discussion, grammar, or craft.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Practice disciplinary methods: investigation, sourcing, mapping, or analysis.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16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Unit 3: authentic task or investigation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Solve unfamiliar tasks and explain decisions.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Write or speak from evidence; compare perspectives.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Use evidence to explain, argue, design, or interpret.</w:t>
            </w:r>
          </w:p>
        </w:tc>
      </w:tr>
      <w:tr>
        <w:trPr>
          <w:cantSplit/>
        </w:trPr>
        <w:tc>
          <w:tcPr>
            <w:tcW w:type="dxa" w:w="69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17</w:t>
            </w:r>
          </w:p>
        </w:tc>
        <w:tc>
          <w:tcPr>
            <w:tcW w:type="dxa" w:w="2880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Capstone, review, and post-assessment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cumulative task and post-check.</w:t>
            </w:r>
          </w:p>
        </w:tc>
        <w:tc>
          <w:tcPr>
            <w:tcW w:type="dxa" w:w="3528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polished product and reflection.</w:t>
            </w:r>
          </w:p>
        </w:tc>
        <w:tc>
          <w:tcPr>
            <w:tcW w:type="dxa" w:w="3671"/>
            <w:shd w:fill="F7F9FC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Complete a capstone investigation, inquiry, or project.</w:t>
            </w:r>
          </w:p>
        </w:tc>
      </w:tr>
      <w:tr>
        <w:trPr>
          <w:cantSplit/>
        </w:trPr>
        <w:tc>
          <w:tcPr>
            <w:tcW w:type="dxa" w:w="69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center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>18</w:t>
            </w:r>
          </w:p>
        </w:tc>
        <w:tc>
          <w:tcPr>
            <w:tcW w:type="dxa" w:w="2880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Presentation, reflection, and continuation plan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Present growth and identify the next course or unit.</w:t>
            </w:r>
          </w:p>
        </w:tc>
        <w:tc>
          <w:tcPr>
            <w:tcW w:type="dxa" w:w="3528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Present the portfolio and choose the next reading/writing goal.</w:t>
            </w:r>
          </w:p>
        </w:tc>
        <w:tc>
          <w:tcPr>
            <w:tcW w:type="dxa" w:w="3671"/>
            <w:shd w:fill="FFFFFF" w:val="clear"/>
            <w:tcMar>
              <w:top w:w="63" w:type="dxa"/>
              <w:start w:w="60" w:type="dxa"/>
              <w:bottom w:w="63" w:type="dxa"/>
              <w:end w:w="60" w:type="dxa"/>
            </w:tcMar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</w:tcPr>
          <w:p>
            <w:pPr>
              <w:spacing w:before="0" w:after="0" w:line="230" w:lineRule="auto"/>
              <w:jc w:val="left"/>
            </w:pPr>
            <w:r>
              <w:rPr>
                <w:rFonts w:ascii="Lato" w:hAnsi="Lato" w:eastAsia="Lato"/>
                <w:b w:val="0"/>
                <w:color w:val="24344D"/>
                <w:sz w:val="15"/>
              </w:rPr>
              <w:t>Defend conclusions and plan continuation or credit documentation.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00"/>
        <w:gridCol w:w="4800"/>
        <w:gridCol w:w="4800"/>
      </w:tblGrid>
      <w:tr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REPEAT  </w:t>
            </w:r>
            <w:r>
              <w:rPr>
                <w:rFonts w:ascii="Lato" w:hAnsi="Lato" w:eastAsia="Lato"/>
                <w:color w:val="24344D"/>
                <w:sz w:val="15"/>
              </w:rPr>
              <w:t>For a full-year course, repeat the 18-week cycle with new units.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NARROW  </w:t>
            </w:r>
            <w:r>
              <w:rPr>
                <w:rFonts w:ascii="Lato" w:hAnsi="Lato" w:eastAsia="Lato"/>
                <w:color w:val="24344D"/>
                <w:sz w:val="15"/>
              </w:rPr>
              <w:t>One clear subject outcome is better than an overloaded list.</w:t>
            </w:r>
          </w:p>
        </w:tc>
        <w:tc>
          <w:tcPr>
            <w:tcW w:type="dxa" w:w="48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65" w:type="dxa"/>
              <w:start w:w="80" w:type="dxa"/>
              <w:bottom w:w="60" w:type="dxa"/>
              <w:end w:w="80" w:type="dxa"/>
            </w:tcMar>
          </w:tcPr>
          <w:p>
            <w:r>
              <w:rPr>
                <w:rFonts w:ascii="Lato" w:hAnsi="Lato" w:eastAsia="Lato"/>
                <w:b/>
                <w:color w:val="D59600"/>
                <w:sz w:val="15"/>
              </w:rPr>
              <w:t xml:space="preserve">ARCHIVE  </w:t>
            </w:r>
            <w:r>
              <w:rPr>
                <w:rFonts w:ascii="Lato" w:hAnsi="Lato" w:eastAsia="Lato"/>
                <w:color w:val="24344D"/>
                <w:sz w:val="15"/>
              </w:rPr>
              <w:t>Keep objectives, work samples, assessments, and a final reflection.</w:t>
            </w:r>
          </w:p>
        </w:tc>
      </w:tr>
    </w:tbl>
    <w:p>
      <w:r>
        <w:br w:type="page"/>
      </w:r>
    </w:p>
    <w:p>
      <w:pPr>
        <w:keepNext w:val="1"/>
        <w:spacing w:before="0" w:after="20" w:line="240" w:lineRule="auto"/>
      </w:pPr>
      <w:r>
        <w:rPr>
          <w:rFonts w:ascii="Lato" w:hAnsi="Lato" w:eastAsia="Lato"/>
          <w:b/>
          <w:color w:val="0B2A55"/>
          <w:sz w:val="37"/>
        </w:rPr>
        <w:t>Choose a Subject Path</w:t>
      </w:r>
    </w:p>
    <w:p>
      <w:pPr>
        <w:spacing w:before="0" w:after="100" w:line="240" w:lineRule="auto"/>
      </w:pPr>
      <w:r>
        <w:rPr>
          <w:rFonts w:ascii="Lato" w:hAnsi="Lato" w:eastAsia="Lato"/>
          <w:color w:val="5E6B7D"/>
          <w:sz w:val="18"/>
        </w:rPr>
        <w:t>Use these tools to personalize the plan and document progress.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1800"/>
            <w:tcBorders>
              <w:top w:val="nil"/>
              <w:left w:val="nil"/>
              <w:bottom w:val="nil"/>
              <w:right w:val="nil"/>
            </w:tcBorders>
            <w:shd w:fill="D59600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  <w:tc>
          <w:tcPr>
            <w:tcW w:type="dxa" w:w="12384"/>
            <w:tcBorders>
              <w:top w:val="nil"/>
              <w:left w:val="nil"/>
              <w:bottom w:val="nil"/>
              <w:right w:val="nil"/>
            </w:tcBorders>
            <w:shd w:fill="F7F9FC" w:val="clear"/>
            <w:tcMar>
              <w:top w:w="14" w:type="dxa"/>
              <w:start w:w="0" w:type="dxa"/>
              <w:bottom w:w="14" w:type="dxa"/>
              <w:end w:w="0" w:type="dxa"/>
            </w:tcMar>
          </w:tcPr>
          <w:p/>
        </w:tc>
      </w:tr>
    </w:tbl>
    <w:p>
      <w:pPr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7200"/>
      </w:tblGrid>
      <w:tr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FFF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MATH PATH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1: </w:t>
            </w:r>
            <w:r>
              <w:rPr>
                <w:rFonts w:ascii="Lato" w:hAnsi="Lato" w:eastAsia="Lato"/>
                <w:color w:val="24344D"/>
                <w:sz w:val="15"/>
              </w:rPr>
              <w:t>Number, algebra, or prerequisite skills.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2: </w:t>
            </w:r>
            <w:r>
              <w:rPr>
                <w:rFonts w:ascii="Lato" w:hAnsi="Lato" w:eastAsia="Lato"/>
                <w:color w:val="24344D"/>
                <w:sz w:val="15"/>
              </w:rPr>
              <w:t>Geometry, measurement, trigonometry, or spatial reasoning.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3: </w:t>
            </w:r>
            <w:r>
              <w:rPr>
                <w:rFonts w:ascii="Lato" w:hAnsi="Lato" w:eastAsia="Lato"/>
                <w:color w:val="24344D"/>
                <w:sz w:val="15"/>
              </w:rPr>
              <w:t>Data, probability, modeling, finance, or applied problem solving.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Capstone: </w:t>
            </w:r>
            <w:r>
              <w:rPr>
                <w:rFonts w:ascii="Lato" w:hAnsi="Lato" w:eastAsia="Lato"/>
                <w:color w:val="24344D"/>
                <w:sz w:val="15"/>
              </w:rPr>
              <w:t>A model, investigation, design, or real-data analysis.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SCIENCE PATH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1: </w:t>
            </w:r>
            <w:r>
              <w:rPr>
                <w:rFonts w:ascii="Lato" w:hAnsi="Lato" w:eastAsia="Lato"/>
                <w:color w:val="24344D"/>
                <w:sz w:val="15"/>
              </w:rPr>
              <w:t>Physical science or foundational methods.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2: </w:t>
            </w:r>
            <w:r>
              <w:rPr>
                <w:rFonts w:ascii="Lato" w:hAnsi="Lato" w:eastAsia="Lato"/>
                <w:color w:val="24344D"/>
                <w:sz w:val="15"/>
              </w:rPr>
              <w:t>Life science or environmental systems.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3: </w:t>
            </w:r>
            <w:r>
              <w:rPr>
                <w:rFonts w:ascii="Lato" w:hAnsi="Lato" w:eastAsia="Lato"/>
                <w:color w:val="24344D"/>
                <w:sz w:val="15"/>
              </w:rPr>
              <w:t>Earth/space science, technology, or engineering.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Capstone: </w:t>
            </w:r>
            <w:r>
              <w:rPr>
                <w:rFonts w:ascii="Lato" w:hAnsi="Lato" w:eastAsia="Lato"/>
                <w:color w:val="24344D"/>
                <w:sz w:val="15"/>
              </w:rPr>
              <w:t>An investigation, evidence-based explanation, or design solution.</w:t>
            </w:r>
          </w:p>
        </w:tc>
        <w:tc>
          <w:tcPr>
            <w:tcW w:type="dxa" w:w="7200"/>
            <w:tcBorders>
              <w:top w:val="single" w:sz="5" w:color="D7E1EC"/>
              <w:left w:val="single" w:sz="5" w:color="D7E1EC"/>
              <w:bottom w:val="single" w:sz="5" w:color="D7E1EC"/>
              <w:right w:val="single" w:sz="5" w:color="D7E1EC"/>
            </w:tcBorders>
            <w:shd w:fill="FFF6E2" w:val="clear"/>
            <w:tcMar>
              <w:top w:w="90" w:type="dxa"/>
              <w:start w:w="110" w:type="dxa"/>
              <w:bottom w:w="80" w:type="dxa"/>
              <w:end w:w="110" w:type="dxa"/>
            </w:tcMar>
          </w:tcPr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ENGLISH / ELA PATH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1: </w:t>
            </w:r>
            <w:r>
              <w:rPr>
                <w:rFonts w:ascii="Lato" w:hAnsi="Lato" w:eastAsia="Lato"/>
                <w:color w:val="24344D"/>
                <w:sz w:val="15"/>
              </w:rPr>
              <w:t>Reading comprehension, literature, or informational text.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2: </w:t>
            </w:r>
            <w:r>
              <w:rPr>
                <w:rFonts w:ascii="Lato" w:hAnsi="Lato" w:eastAsia="Lato"/>
                <w:color w:val="24344D"/>
                <w:sz w:val="15"/>
              </w:rPr>
              <w:t>Narrative, informative, argument, or creative writing.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3: </w:t>
            </w:r>
            <w:r>
              <w:rPr>
                <w:rFonts w:ascii="Lato" w:hAnsi="Lato" w:eastAsia="Lato"/>
                <w:color w:val="24344D"/>
                <w:sz w:val="15"/>
              </w:rPr>
              <w:t>Language, research, rhetoric, speaking, or media literacy.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Capstone: </w:t>
            </w:r>
            <w:r>
              <w:rPr>
                <w:rFonts w:ascii="Lato" w:hAnsi="Lato" w:eastAsia="Lato"/>
                <w:color w:val="24344D"/>
                <w:sz w:val="15"/>
              </w:rPr>
              <w:t>A portfolio, publication, seminar, podcast, or research product.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D59600"/>
                <w:sz w:val="18"/>
              </w:rPr>
              <w:t>SOCIAL STUDIES PATH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1: </w:t>
            </w:r>
            <w:r>
              <w:rPr>
                <w:rFonts w:ascii="Lato" w:hAnsi="Lato" w:eastAsia="Lato"/>
                <w:color w:val="24344D"/>
                <w:sz w:val="15"/>
              </w:rPr>
              <w:t>History and chronological reasoning.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2: </w:t>
            </w:r>
            <w:r>
              <w:rPr>
                <w:rFonts w:ascii="Lato" w:hAnsi="Lato" w:eastAsia="Lato"/>
                <w:color w:val="24344D"/>
                <w:sz w:val="15"/>
              </w:rPr>
              <w:t>Geography, culture, and human systems.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Unit 3: </w:t>
            </w:r>
            <w:r>
              <w:rPr>
                <w:rFonts w:ascii="Lato" w:hAnsi="Lato" w:eastAsia="Lato"/>
                <w:color w:val="24344D"/>
                <w:sz w:val="15"/>
              </w:rPr>
              <w:t>Civics, economics, and public decision making.</w:t>
            </w:r>
          </w:p>
          <w:p>
            <w:pPr>
              <w:spacing w:before="0" w:after="80" w:line="240" w:lineRule="auto"/>
            </w:pPr>
            <w:r>
              <w:rPr>
                <w:rFonts w:ascii="Lato" w:hAnsi="Lato" w:eastAsia="Lato"/>
                <w:b/>
                <w:color w:val="0B2A55"/>
                <w:sz w:val="16"/>
              </w:rPr>
              <w:t xml:space="preserve">Capstone: </w:t>
            </w:r>
            <w:r>
              <w:rPr>
                <w:rFonts w:ascii="Lato" w:hAnsi="Lato" w:eastAsia="Lato"/>
                <w:color w:val="24344D"/>
                <w:sz w:val="15"/>
              </w:rPr>
              <w:t>A source-based inquiry, exhibit, debate, map, or policy brief.</w:t>
            </w:r>
          </w:p>
        </w:tc>
      </w:tr>
    </w:tbl>
    <w:p>
      <w:pPr>
        <w:spacing w:after="0"/>
      </w:pPr>
    </w:p>
    <w:p>
      <w:pPr>
        <w:spacing w:before="0" w:after="60" w:line="240" w:lineRule="auto"/>
      </w:pPr>
      <w:r>
        <w:rPr>
          <w:rFonts w:ascii="Lato" w:hAnsi="Lato" w:eastAsia="Lato"/>
          <w:b/>
          <w:color w:val="D59600"/>
          <w:sz w:val="18"/>
        </w:rPr>
        <w:t>RESOURCE LINKS</w:t>
      </w:r>
    </w:p>
    <w:p>
      <w:pPr>
        <w:jc w:val="center"/>
      </w:pPr>
      <w:hyperlink r:id="rId11">
        <w:r>
          <w:rPr>
            <w:rFonts w:ascii="Lato" w:hAnsi="Lato"/>
            <w:color w:val="0868C9"/>
            <w:u w:val="single"/>
            <w:sz w:val="18"/>
          </w:rPr>
          <w:t>Free K-12 Practice home</w:t>
        </w:r>
      </w:hyperlink>
      <w:r>
        <w:t xml:space="preserve">   |   </w:t>
      </w:r>
      <w:hyperlink r:id="rId12">
        <w:r>
          <w:rPr>
            <w:rFonts w:ascii="Lato" w:hAnsi="Lato"/>
            <w:color w:val="0868C9"/>
            <w:u w:val="single"/>
            <w:sz w:val="18"/>
          </w:rPr>
          <w:t>Math practice</w:t>
        </w:r>
      </w:hyperlink>
      <w:r>
        <w:t xml:space="preserve">   |   </w:t>
      </w:r>
      <w:hyperlink r:id="rId13">
        <w:r>
          <w:rPr>
            <w:rFonts w:ascii="Lato" w:hAnsi="Lato"/>
            <w:color w:val="0868C9"/>
            <w:u w:val="single"/>
            <w:sz w:val="18"/>
          </w:rPr>
          <w:t>English / ELA practice</w:t>
        </w:r>
      </w:hyperlink>
      <w:r>
        <w:t xml:space="preserve">   |   </w:t>
      </w:r>
      <w:hyperlink r:id="rId14">
        <w:r>
          <w:rPr>
            <w:rFonts w:ascii="Lato" w:hAnsi="Lato"/>
            <w:color w:val="0868C9"/>
            <w:u w:val="single"/>
            <w:sz w:val="18"/>
          </w:rPr>
          <w:t>Science practice</w:t>
        </w:r>
      </w:hyperlink>
      <w:r>
        <w:t xml:space="preserve">   |   </w:t>
      </w:r>
      <w:hyperlink r:id="rId15">
        <w:r>
          <w:rPr>
            <w:rFonts w:ascii="Lato" w:hAnsi="Lato"/>
            <w:color w:val="0868C9"/>
            <w:u w:val="single"/>
            <w:sz w:val="18"/>
          </w:rPr>
          <w:t>Social studies practice</w:t>
        </w:r>
      </w:hyperlink>
      <w:r>
        <w:t xml:space="preserve">   |   </w:t>
      </w:r>
      <w:hyperlink r:id="rId16">
        <w:r>
          <w:rPr>
            <w:rFonts w:ascii="Lato" w:hAnsi="Lato"/>
            <w:color w:val="0868C9"/>
            <w:u w:val="single"/>
            <w:sz w:val="18"/>
          </w:rPr>
          <w:t>Printable worksheets</w:t>
        </w:r>
      </w:hyperlink>
    </w:p>
    <w:p>
      <w:pPr>
        <w:spacing w:after="0"/>
      </w:pPr>
    </w:p>
    <w:p>
      <w:r>
        <w:rPr>
          <w:rFonts w:ascii="Lato" w:hAnsi="Lato" w:eastAsia="Lato"/>
          <w:b/>
          <w:color w:val="0B2A55"/>
          <w:sz w:val="16"/>
        </w:rPr>
        <w:t xml:space="preserve">Standards note: </w:t>
      </w:r>
      <w:r>
        <w:rPr>
          <w:rFonts w:ascii="Lato" w:hAnsi="Lato" w:eastAsia="Lato"/>
          <w:i/>
          <w:color w:val="5E6B7D"/>
          <w:sz w:val="15"/>
        </w:rPr>
        <w:t>Select expectations from the student’s current grade or course, then verify local requirements. Common Core, NGSS, and the C3 Framework are useful reference points but do not replace state-specific rules.</w:t>
      </w:r>
    </w:p>
    <w:sectPr w:rsidR="00FC693F" w:rsidRPr="0006063C" w:rsidSect="00034616">
      <w:headerReference w:type="default" r:id="rId9"/>
      <w:footerReference w:type="default" r:id="rId10"/>
      <w:pgSz w:w="15840" w:h="12240" w:orient="landscape"/>
      <w:pgMar w:top="648" w:right="720" w:bottom="648" w:left="720" w:header="216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800"/>
      <w:gridCol w:w="4800"/>
      <w:gridCol w:w="4800"/>
    </w:tblGrid>
    <w:tr>
      <w:tc>
        <w:tcPr>
          <w:tcW w:type="dxa" w:w="6336"/>
          <w:tcBorders>
            <w:top w:val="single" w:sz="8" w:color="D7E1EC"/>
            <w:left w:val="nil"/>
            <w:bottom w:val="nil"/>
            <w:right w:val="nil"/>
          </w:tcBorders>
        </w:tcPr>
        <w:p>
          <w:r>
            <w:rPr>
              <w:rFonts w:ascii="Lato" w:hAnsi="Lato" w:eastAsia="Lato"/>
              <w:color w:val="5E6B7D"/>
              <w:sz w:val="16"/>
            </w:rPr>
            <w:t>Free K-12 Practice  |  freek12practice.itxwebsolutions.com</w:t>
          </w:r>
        </w:p>
      </w:tc>
      <w:tc>
        <w:tcPr>
          <w:tcW w:type="dxa" w:w="5040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center"/>
          </w:pPr>
          <w:r>
            <w:rPr>
              <w:rFonts w:ascii="Lato" w:hAnsi="Lato" w:eastAsia="Lato"/>
              <w:color w:val="5E6B7D"/>
              <w:sz w:val="15"/>
            </w:rPr>
            <w:t>Flexible planning guide - verify local requirements</w:t>
          </w:r>
        </w:p>
      </w:tc>
      <w:tc>
        <w:tcPr>
          <w:tcW w:type="dxa" w:w="3024"/>
          <w:tcBorders>
            <w:top w:val="single" w:sz="8" w:color="D7E1EC"/>
            <w:left w:val="nil"/>
            <w:bottom w:val="nil"/>
            <w:right w:val="nil"/>
          </w:tcBorders>
        </w:tcPr>
        <w:p>
          <w:pPr>
            <w:jc w:val="right"/>
          </w:pPr>
          <w:r>
            <w:rPr>
              <w:rFonts w:ascii="Lato" w:hAnsi="Lato" w:eastAsia="Lato"/>
              <w:color w:val="5E6B7D"/>
              <w:sz w:val="17"/>
            </w:rPr>
            <w:t xml:space="preserve">Page </w:t>
          </w:r>
          <w:r>
            <w:rPr>
              <w:rFonts w:ascii="Lato" w:hAnsi="Lato" w:eastAsia="Lato"/>
              <w:color w:val="5E6B7D"/>
              <w:sz w:val="17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7200"/>
      <w:gridCol w:w="7200"/>
    </w:tblGrid>
    <w:tr>
      <w:tc>
        <w:tcPr>
          <w:tcW w:type="dxa" w:w="4608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2057400" cy="342900"/>
                <wp:docPr id="1" name="Picture 1" descr="Image: item1.xml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freek12_plan_logo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57400" cy="3429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9792"/>
          <w:tcBorders>
            <w:top w:val="nil"/>
            <w:left w:val="nil"/>
            <w:bottom w:val="single" w:sz="14" w:color="D59600"/>
            <w:right w:val="nil"/>
          </w:tcBorders>
          <w:vAlign w:val="center"/>
        </w:tcPr>
        <w:p>
          <w:pPr>
            <w:spacing w:before="0" w:after="0" w:line="240" w:lineRule="auto"/>
            <w:jc w:val="right"/>
          </w:pPr>
          <w:r>
            <w:rPr>
              <w:rFonts w:ascii="Lato" w:hAnsi="Lato" w:eastAsia="Lato"/>
              <w:b/>
              <w:color w:val="D59600"/>
              <w:sz w:val="17"/>
            </w:rPr>
            <w:t>SINGLE-SUBJECT STUDY HOMESCHOOL PLAN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7" w:lineRule="auto"/>
    </w:pPr>
    <w:rPr>
      <w:rFonts w:ascii="Lato" w:hAnsi="Lato"/>
      <w:color w:val="24344D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Lato" w:hAnsi="Lato"/>
      <w:b/>
      <w:bCs/>
      <w:color w:val="0B2A5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Lato" w:hAnsi="Lato"/>
      <w:b/>
      <w:bCs/>
      <w:color w:val="0B2A5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Lato" w:hAnsi="Lato"/>
      <w:b/>
      <w:bCs/>
      <w:color w:val="0B2A5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Lato" w:hAnsi="Lato"/>
      <w:color w:val="0B2A55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freek12practice.itxwebsolutions.com/" TargetMode="External"/><Relationship Id="rId12" Type="http://schemas.openxmlformats.org/officeDocument/2006/relationships/hyperlink" Target="https://freek12practice.itxwebsolutions.com/browse/math" TargetMode="External"/><Relationship Id="rId13" Type="http://schemas.openxmlformats.org/officeDocument/2006/relationships/hyperlink" Target="https://freek12practice.itxwebsolutions.com/browse/english" TargetMode="External"/><Relationship Id="rId14" Type="http://schemas.openxmlformats.org/officeDocument/2006/relationships/hyperlink" Target="https://freek12practice.itxwebsolutions.com/browse/science" TargetMode="External"/><Relationship Id="rId15" Type="http://schemas.openxmlformats.org/officeDocument/2006/relationships/hyperlink" Target="https://freek12practice.itxwebsolutions.com/browse/social-studies" TargetMode="External"/><Relationship Id="rId16" Type="http://schemas.openxmlformats.org/officeDocument/2006/relationships/hyperlink" Target="https://freek12practice.itxwebsolutions.com/worksheets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Single-Subject Study Homeschool Plan</dc:title>
  <dc:subject>Free K-12 Practice homeschool planning guide</dc:subject>
  <dc:creator>Free K-12 Practice</dc:creator>
  <cp:keywords>homeschool, K-12, learning plan, worksheets, practice</cp:keywords>
  <dc:description>Generated as a flexible, standards-informed planning resource.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