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Accelerated Learning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A twelve-week plan for learners who demonstrate mastery quickly and need greater depth, complexity, independence, or above-grade challenge.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12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duration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Grade-flexible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Adapt to the learner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4-5 days/week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Recommended rhythm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Evidence-based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Use checks and work samples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0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BEST FOR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Students consistently mastering grade-level work with little repetition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Learners seeking a focused academic stretch or compacted unit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Families building an independent project or portfolio</w:t>
            </w:r>
          </w:p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0" w:type="dxa"/>
              <w:end w:w="135" w:type="dxa"/>
            </w:tcMar>
            <w:shd w:fill="FFF6E2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HOW TO USE IT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1  </w:t>
            </w:r>
            <w:r>
              <w:rPr>
                <w:rFonts w:ascii="Lato" w:hAnsi="Lato" w:eastAsia="Lato"/>
                <w:color w:val="24344D"/>
                <w:sz w:val="17"/>
              </w:rPr>
              <w:t>Choose one clear goal and a realistic schedule.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2  </w:t>
            </w:r>
            <w:r>
              <w:rPr>
                <w:rFonts w:ascii="Lato" w:hAnsi="Lato" w:eastAsia="Lato"/>
                <w:color w:val="24344D"/>
                <w:sz w:val="17"/>
              </w:rPr>
              <w:t>Use a brief baseline check instead of guessing.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3  </w:t>
            </w:r>
            <w:r>
              <w:rPr>
                <w:rFonts w:ascii="Lato" w:hAnsi="Lato" w:eastAsia="Lato"/>
                <w:color w:val="24344D"/>
                <w:sz w:val="17"/>
              </w:rPr>
              <w:t>Teach, practice, apply, and review in a repeatable cycle.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4  </w:t>
            </w:r>
            <w:r>
              <w:rPr>
                <w:rFonts w:ascii="Lato" w:hAnsi="Lato" w:eastAsia="Lato"/>
                <w:color w:val="24344D"/>
                <w:sz w:val="17"/>
              </w:rPr>
              <w:t>Keep work samples and adjust the next week from evidence.</w:t>
            </w:r>
          </w:p>
        </w:tc>
      </w:tr>
    </w:tbl>
    <w:p>
      <w:pPr>
        <w:spacing w:after="0"/>
      </w:pPr>
    </w:p>
    <w:p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Specialty plans supplement a grade-level plan. They do not replace local homeschool, attendance, assessment, or graduation requirements.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Twelve-Week Acceleration Cycle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Acceleration should reduce unnecessary repetition while preserving reasoning, communication, wellbeing, and prerequisite mastery.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rPr>
          <w:tblHeader w:val="true"/>
        </w:trPr>
        <w:tc>
          <w:tcPr>
            <w:tcW w:type="dxa" w:w="792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3384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 / Quantitative</w:t>
            </w:r>
          </w:p>
        </w:tc>
        <w:tc>
          <w:tcPr>
            <w:tcW w:type="dxa" w:w="3456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Reading / Writing</w:t>
            </w:r>
          </w:p>
        </w:tc>
        <w:tc>
          <w:tcPr>
            <w:tcW w:type="dxa" w:w="3384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 / Inquiry</w:t>
            </w:r>
          </w:p>
        </w:tc>
        <w:tc>
          <w:tcPr>
            <w:tcW w:type="dxa" w:w="3456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Planning / Project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Pre-assess one domain; identify mastered and unmastered expectations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Choose complex text and collect an analytical writing sample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Select a phenomenon or problem worth investigating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Define depth goals, safeguards, and evidence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Compact mastered practice; retain only transfer and explanation tasks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Compact routine skills; preserve discussion, writing, and vocabulary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 prerequisite knowledge and unanswered questions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 a personalized learning contract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Solve non-routine problems using multiple strategies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Analyze craft, structure, evidence, or rhetoric in challenging text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Design an investigation, model, or engineering approach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Hold a seminar or strategy conference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Generalize patterns; justify rules; connect representations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an original analytical or creative response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Collect initial data or test a first model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Checkpoint: depth before speed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Preview a carefully selected above-grade concept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a second text with a contrasting perspective or method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Revise the investigation using evidence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Choose a cross-curricular project question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math to authentic data, coding, finance, or design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Evaluate source credibility and synthesize information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Analyze data; quantify uncertainty or limitations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and approve a project proposal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 a complex model or extended solution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Draft a research, argument, narrative, or multimedia product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Develop the project, experiment, or prototype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Document process, decisions, and sources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Critique solutions and improve efficiency or precision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Revise for reasoning, organization, voice, and conventions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Retest, compare, and revise from evidence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Mid-project critique with an authentic audience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an advanced application without skipping foundations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Lead a discussion or teach a mini-lesson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Connect the project to ethics, society, or the environment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Update goals and identify remaining gaps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capstone task that integrates several concepts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polished public-facing product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Finalize data displays, explanations, or design specifications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Prepare presentation and reflection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Sample the next course/grade and note prerequisite demands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or write at the next complexity band with support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a next-level question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 a transition recommendation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Post-assess; select future depth and acceleration targets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conference and next reading/writing goals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Present, defend, and reflect on the work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Celebrate growth and return to a sustainable plan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COMPACT  </w:t>
            </w:r>
            <w:r>
              <w:rPr>
                <w:rFonts w:ascii="Lato" w:hAnsi="Lato" w:eastAsia="Lato"/>
                <w:color w:val="24344D"/>
                <w:sz w:val="15"/>
              </w:rPr>
              <w:t>Remove work only after clear evidence of mastery.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DEEPEN  </w:t>
            </w:r>
            <w:r>
              <w:rPr>
                <w:rFonts w:ascii="Lato" w:hAnsi="Lato" w:eastAsia="Lato"/>
                <w:color w:val="24344D"/>
                <w:sz w:val="15"/>
              </w:rPr>
              <w:t>Prioritize complexity, transfer, creativity, and authentic audiences.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MONITOR  </w:t>
            </w:r>
            <w:r>
              <w:rPr>
                <w:rFonts w:ascii="Lato" w:hAnsi="Lato" w:eastAsia="Lato"/>
                <w:color w:val="24344D"/>
                <w:sz w:val="15"/>
              </w:rPr>
              <w:t>Watch workload, perfectionism, social-emotional needs, and foundational gaps.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Acceleration Options and Safeguards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these tools to personalize the plan and document progress.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90" w:type="dxa"/>
              <w:start w:w="110" w:type="dxa"/>
              <w:bottom w:w="80" w:type="dxa"/>
              <w:end w:w="110" w:type="dxa"/>
            </w:tcMar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WAYS TO ACCELERATE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Compacting: </w:t>
            </w:r>
            <w:r>
              <w:rPr>
                <w:rFonts w:ascii="Lato" w:hAnsi="Lato" w:eastAsia="Lato"/>
                <w:color w:val="24344D"/>
                <w:sz w:val="15"/>
              </w:rPr>
              <w:t>Skip redundant instruction and practice after pre-assessment.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Subject acceleration: </w:t>
            </w:r>
            <w:r>
              <w:rPr>
                <w:rFonts w:ascii="Lato" w:hAnsi="Lato" w:eastAsia="Lato"/>
                <w:color w:val="24344D"/>
                <w:sz w:val="15"/>
              </w:rPr>
              <w:t>Move ahead in one subject while remaining age-level elsewhere.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Curriculum telescoping: </w:t>
            </w:r>
            <w:r>
              <w:rPr>
                <w:rFonts w:ascii="Lato" w:hAnsi="Lato" w:eastAsia="Lato"/>
                <w:color w:val="24344D"/>
                <w:sz w:val="15"/>
              </w:rPr>
              <w:t>Complete a defined sequence in less time with evidence checks.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Dual-level work: </w:t>
            </w:r>
            <w:r>
              <w:rPr>
                <w:rFonts w:ascii="Lato" w:hAnsi="Lato" w:eastAsia="Lato"/>
                <w:color w:val="24344D"/>
                <w:sz w:val="15"/>
              </w:rPr>
              <w:t>Combine grade-level essentials with selected advanced applications.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EVIDENCE BEFORE MOVING AHEAD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Accuracy: </w:t>
            </w:r>
            <w:r>
              <w:rPr>
                <w:rFonts w:ascii="Lato" w:hAnsi="Lato" w:eastAsia="Lato"/>
                <w:color w:val="24344D"/>
                <w:sz w:val="15"/>
              </w:rPr>
              <w:t>Consistent mastery, not one strong performance.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Transfer: </w:t>
            </w:r>
            <w:r>
              <w:rPr>
                <w:rFonts w:ascii="Lato" w:hAnsi="Lato" w:eastAsia="Lato"/>
                <w:color w:val="24344D"/>
                <w:sz w:val="15"/>
              </w:rPr>
              <w:t>Success on unfamiliar tasks and multiple representations.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Reasoning: </w:t>
            </w:r>
            <w:r>
              <w:rPr>
                <w:rFonts w:ascii="Lato" w:hAnsi="Lato" w:eastAsia="Lato"/>
                <w:color w:val="24344D"/>
                <w:sz w:val="15"/>
              </w:rPr>
              <w:t>Clear explanations and error analysis.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Readiness: </w:t>
            </w:r>
            <w:r>
              <w:rPr>
                <w:rFonts w:ascii="Lato" w:hAnsi="Lato" w:eastAsia="Lato"/>
                <w:color w:val="24344D"/>
                <w:sz w:val="15"/>
              </w:rPr>
              <w:t>Adequate maturity, motivation, workload balance, and prerequisites.</w:t>
            </w:r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90" w:type="dxa"/>
              <w:start w:w="110" w:type="dxa"/>
              <w:bottom w:w="80" w:type="dxa"/>
              <w:end w:w="110" w:type="dxa"/>
            </w:tcMar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WAYS TO DEEPEN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Complexity: </w:t>
            </w:r>
            <w:r>
              <w:rPr>
                <w:rFonts w:ascii="Lato" w:hAnsi="Lato" w:eastAsia="Lato"/>
                <w:color w:val="24344D"/>
                <w:sz w:val="15"/>
              </w:rPr>
              <w:t>Use ambiguous, multi-step, or open-ended problems.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Perspective: </w:t>
            </w:r>
            <w:r>
              <w:rPr>
                <w:rFonts w:ascii="Lato" w:hAnsi="Lato" w:eastAsia="Lato"/>
                <w:color w:val="24344D"/>
                <w:sz w:val="15"/>
              </w:rPr>
              <w:t>Compare methods, disciplines, cultures, or historical interpretations.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Authenticity: </w:t>
            </w:r>
            <w:r>
              <w:rPr>
                <w:rFonts w:ascii="Lato" w:hAnsi="Lato" w:eastAsia="Lato"/>
                <w:color w:val="24344D"/>
                <w:sz w:val="15"/>
              </w:rPr>
              <w:t>Create for a real audience, client, community, or practical purpose.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Independence: </w:t>
            </w:r>
            <w:r>
              <w:rPr>
                <w:rFonts w:ascii="Lato" w:hAnsi="Lato" w:eastAsia="Lato"/>
                <w:color w:val="24344D"/>
                <w:sz w:val="15"/>
              </w:rPr>
              <w:t>Increase planning, source selection, revision, and self-assessment responsibility.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POSSIBLE CAPSTONES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STEM: </w:t>
            </w:r>
            <w:r>
              <w:rPr>
                <w:rFonts w:ascii="Lato" w:hAnsi="Lato" w:eastAsia="Lato"/>
                <w:color w:val="24344D"/>
                <w:sz w:val="15"/>
              </w:rPr>
              <w:t>Design, test, code, model, or analyze a real system.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Humanities: </w:t>
            </w:r>
            <w:r>
              <w:rPr>
                <w:rFonts w:ascii="Lato" w:hAnsi="Lato" w:eastAsia="Lato"/>
                <w:color w:val="24344D"/>
                <w:sz w:val="15"/>
              </w:rPr>
              <w:t>Curate an exhibit, podcast, documentary, seminar, or research paper.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Civic: </w:t>
            </w:r>
            <w:r>
              <w:rPr>
                <w:rFonts w:ascii="Lato" w:hAnsi="Lato" w:eastAsia="Lato"/>
                <w:color w:val="24344D"/>
                <w:sz w:val="15"/>
              </w:rPr>
              <w:t>Investigate a local issue and communicate a supported recommendation.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Entrepreneurial: </w:t>
            </w:r>
            <w:r>
              <w:rPr>
                <w:rFonts w:ascii="Lato" w:hAnsi="Lato" w:eastAsia="Lato"/>
                <w:color w:val="24344D"/>
                <w:sz w:val="15"/>
              </w:rPr>
              <w:t>Develop a product, budget, market analysis, or service proposal.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D59600"/>
          <w:sz w:val="18"/>
        </w:rPr>
        <w:t>RESOURCE LINKS</w:t>
      </w:r>
    </w:p>
    <w:p>
      <w:pPr>
        <w:jc w:val="center"/>
      </w:pPr>
      <w:hyperlink r:id="rId11">
        <w:r>
          <w:rPr>
            <w:rFonts w:ascii="Lato" w:hAnsi="Lato"/>
            <w:color w:val="0868C9"/>
            <w:u w:val="single"/>
            <w:sz w:val="18"/>
          </w:rPr>
          <w:t>Free K-12 Practice home</w:t>
        </w:r>
      </w:hyperlink>
      <w:r>
        <w:t xml:space="preserve">   |   </w:t>
      </w:r>
      <w:hyperlink r:id="rId12">
        <w:r>
          <w:rPr>
            <w:rFonts w:ascii="Lato" w:hAnsi="Lato"/>
            <w:color w:val="0868C9"/>
            <w:u w:val="single"/>
            <w:sz w:val="18"/>
          </w:rPr>
          <w:t>Math practice</w:t>
        </w:r>
      </w:hyperlink>
      <w:r>
        <w:t xml:space="preserve">   |   </w:t>
      </w:r>
      <w:hyperlink r:id="rId13">
        <w:r>
          <w:rPr>
            <w:rFonts w:ascii="Lato" w:hAnsi="Lato"/>
            <w:color w:val="0868C9"/>
            <w:u w:val="single"/>
            <w:sz w:val="18"/>
          </w:rPr>
          <w:t>English / ELA practice</w:t>
        </w:r>
      </w:hyperlink>
      <w:r>
        <w:t xml:space="preserve">   |   </w:t>
      </w:r>
      <w:hyperlink r:id="rId14">
        <w:r>
          <w:rPr>
            <w:rFonts w:ascii="Lato" w:hAnsi="Lato"/>
            <w:color w:val="0868C9"/>
            <w:u w:val="single"/>
            <w:sz w:val="18"/>
          </w:rPr>
          <w:t>Science practice</w:t>
        </w:r>
      </w:hyperlink>
      <w:r>
        <w:t xml:space="preserve">   |   </w:t>
      </w:r>
      <w:hyperlink r:id="rId15">
        <w:r>
          <w:rPr>
            <w:rFonts w:ascii="Lato" w:hAnsi="Lato"/>
            <w:color w:val="0868C9"/>
            <w:u w:val="single"/>
            <w:sz w:val="18"/>
          </w:rPr>
          <w:t>Social studies practice</w:t>
        </w:r>
      </w:hyperlink>
      <w:r>
        <w:t xml:space="preserve">   |   </w:t>
      </w:r>
      <w:hyperlink r:id="rId16">
        <w:r>
          <w:rPr>
            <w:rFonts w:ascii="Lato" w:hAnsi="Lato"/>
            <w:color w:val="0868C9"/>
            <w:u w:val="single"/>
            <w:sz w:val="18"/>
          </w:rPr>
          <w:t>Printable worksheets</w:t>
        </w:r>
      </w:hyperlink>
    </w:p>
    <w:p>
      <w:pPr>
        <w:spacing w:after="0"/>
      </w:pPr>
    </w:p>
    <w:p>
      <w:r>
        <w:rPr>
          <w:rFonts w:ascii="Lato" w:hAnsi="Lato" w:eastAsia="Lato"/>
          <w:b/>
          <w:color w:val="0B2A55"/>
          <w:sz w:val="16"/>
        </w:rPr>
        <w:t xml:space="preserve">Standards note: </w:t>
      </w:r>
      <w:r>
        <w:rPr>
          <w:rFonts w:ascii="Lato" w:hAnsi="Lato" w:eastAsia="Lato"/>
          <w:i/>
          <w:color w:val="5E6B7D"/>
          <w:sz w:val="15"/>
        </w:rPr>
        <w:t>Select expectations from the student’s current grade or course, then verify local requirements. Common Core, NGSS, and the C3 Framework are useful reference points but do not replace state-specific rules.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D59600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D59600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D59600"/>
              <w:sz w:val="17"/>
            </w:rPr>
            <w:t>ACCELERATED LEARNING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Accelerated Learning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