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240" w:lineRule="auto"/>
      </w:pPr>
      <w:r>
        <w:rPr>
          <w:rFonts w:ascii="Lato" w:hAnsi="Lato" w:eastAsia="Lato"/>
          <w:b/>
          <w:color w:val="0B2A55"/>
          <w:sz w:val="58"/>
        </w:rPr>
        <w:t>Grade 12 Homeschool Plan</w:t>
      </w:r>
    </w:p>
    <w:p>
      <w:pPr>
        <w:spacing w:before="0" w:after="160" w:line="240" w:lineRule="auto"/>
      </w:pPr>
      <w:r>
        <w:rPr>
          <w:rFonts w:ascii="Lato" w:hAnsi="Lato" w:eastAsia="Lato"/>
          <w:color w:val="24344D"/>
          <w:sz w:val="22"/>
        </w:rPr>
        <w:t>Complete a rigorous senior year with advanced quantitative reasoning, research, civics, finance, and a capstone.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F3EEFB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6F46C8"/>
                <w:sz w:val="26"/>
              </w:rPr>
              <w:t>36 weeks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Suggested full-year sequence</w:t>
            </w:r>
          </w:p>
        </w:tc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F3EEFB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6F46C8"/>
                <w:sz w:val="26"/>
              </w:rPr>
              <w:t>4 core subjects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Math, ELA, science, social studies</w:t>
            </w:r>
          </w:p>
        </w:tc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F3EEFB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6F46C8"/>
                <w:sz w:val="26"/>
              </w:rPr>
              <w:t>Flexible Fridays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Review, projects, field trips, catch-up</w:t>
            </w:r>
          </w:p>
        </w:tc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F3EEFB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6F46C8"/>
                <w:sz w:val="26"/>
              </w:rPr>
              <w:t>Printable-friendly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Worksheets, notes, and progress checks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7200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tcMar>
              <w:top w:w="110" w:type="dxa"/>
              <w:start w:w="135" w:type="dxa"/>
              <w:bottom w:w="105" w:type="dxa"/>
              <w:end w:w="135" w:type="dxa"/>
            </w:tcMar>
            <w:shd w:fill="FFFFFF" w:val="clear"/>
          </w:tcPr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6F46C8"/>
                <w:sz w:val="18"/>
              </w:rPr>
              <w:t>PLAN AT A GLANCE</w:t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3600"/>
              <w:gridCol w:w="3600"/>
            </w:tblGrid>
            <w:tr>
              <w:tc>
                <w:tcPr>
                  <w:tcW w:type="dxa" w:w="1944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6"/>
                    </w:rPr>
                    <w:t>Grade band</w:t>
                  </w:r>
                </w:p>
              </w:tc>
              <w:tc>
                <w:tcPr>
                  <w:tcW w:type="dxa" w:w="4680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6"/>
                    </w:rPr>
                    <w:t>High School (9-12)</w:t>
                  </w:r>
                </w:p>
              </w:tc>
            </w:tr>
            <w:tr>
              <w:tc>
                <w:tcPr>
                  <w:tcW w:type="dxa" w:w="1944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6"/>
                    </w:rPr>
                    <w:t>Suggested daily time</w:t>
                  </w:r>
                </w:p>
              </w:tc>
              <w:tc>
                <w:tcPr>
                  <w:tcW w:type="dxa" w:w="4680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6"/>
                    </w:rPr>
                    <w:t>5-6 hours of academics, plus senior transition work</w:t>
                  </w:r>
                </w:p>
              </w:tc>
            </w:tr>
            <w:tr>
              <w:tc>
                <w:tcPr>
                  <w:tcW w:type="dxa" w:w="1944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6"/>
                    </w:rPr>
                    <w:t>Core course path</w:t>
                  </w:r>
                </w:p>
              </w:tc>
              <w:tc>
                <w:tcPr>
                  <w:tcW w:type="dxa" w:w="4680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6"/>
                    </w:rPr>
                    <w:t>Advanced Math, English 4, Environmental Science, Government/Economics</w:t>
                  </w:r>
                </w:p>
              </w:tc>
            </w:tr>
            <w:tr>
              <w:tc>
                <w:tcPr>
                  <w:tcW w:type="dxa" w:w="1944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6"/>
                    </w:rPr>
                    <w:t>Assessment rhythm</w:t>
                  </w:r>
                </w:p>
              </w:tc>
              <w:tc>
                <w:tcPr>
                  <w:tcW w:type="dxa" w:w="4680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6"/>
                    </w:rPr>
                    <w:t>End-of-unit checks plus four quarterly reviews</w:t>
                  </w:r>
                </w:p>
              </w:tc>
            </w:tr>
            <w:tr>
              <w:tc>
                <w:tcPr>
                  <w:tcW w:type="dxa" w:w="1944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6"/>
                    </w:rPr>
                    <w:t>Recommended pace</w:t>
                  </w:r>
                </w:p>
              </w:tc>
              <w:tc>
                <w:tcPr>
                  <w:tcW w:type="dxa" w:w="4680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6"/>
                    </w:rPr>
                    <w:t>Four focused learning days and one flexible day each week</w:t>
                  </w:r>
                </w:p>
              </w:tc>
            </w:tr>
          </w:tbl>
          <w:p/>
        </w:tc>
        <w:tc>
          <w:tcPr>
            <w:tcW w:type="dxa" w:w="7200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tcMar>
              <w:top w:w="110" w:type="dxa"/>
              <w:start w:w="135" w:type="dxa"/>
              <w:bottom w:w="105" w:type="dxa"/>
              <w:end w:w="135" w:type="dxa"/>
            </w:tcMar>
            <w:shd w:fill="F3EEFB" w:val="clear"/>
          </w:tcPr>
          <w:p>
            <w:pPr>
              <w:spacing w:before="0" w:after="100" w:line="240" w:lineRule="auto"/>
            </w:pPr>
            <w:r>
              <w:rPr>
                <w:rFonts w:ascii="Lato" w:hAnsi="Lato" w:eastAsia="Lato"/>
                <w:b/>
                <w:color w:val="6F46C8"/>
                <w:sz w:val="18"/>
              </w:rPr>
              <w:t>HOW TO USE THIS PLAN</w:t>
            </w:r>
          </w:p>
          <w:p>
            <w:pPr>
              <w:spacing w:before="0" w:after="80" w:line="240" w:lineRule="auto"/>
              <w:ind w:left="29"/>
            </w:pPr>
            <w:r>
              <w:rPr>
                <w:rFonts w:ascii="Lato" w:hAnsi="Lato" w:eastAsia="Lato"/>
                <w:b/>
                <w:color w:val="6F46C8"/>
                <w:sz w:val="18"/>
              </w:rPr>
              <w:t xml:space="preserve">1  </w:t>
            </w:r>
            <w:r>
              <w:rPr>
                <w:rFonts w:ascii="Lato" w:hAnsi="Lato" w:eastAsia="Lato"/>
                <w:b/>
                <w:color w:val="0B2A55"/>
                <w:sz w:val="17"/>
              </w:rPr>
              <w:t xml:space="preserve">Preview the quarter: </w:t>
            </w:r>
            <w:r>
              <w:rPr>
                <w:rFonts w:ascii="Lato" w:hAnsi="Lato" w:eastAsia="Lato"/>
                <w:color w:val="24344D"/>
                <w:sz w:val="16"/>
              </w:rPr>
              <w:t>Skim the next nine weeks and gather books, printables, and simple materials.</w:t>
            </w:r>
          </w:p>
          <w:p>
            <w:pPr>
              <w:spacing w:before="0" w:after="80" w:line="240" w:lineRule="auto"/>
              <w:ind w:left="29"/>
            </w:pPr>
            <w:r>
              <w:rPr>
                <w:rFonts w:ascii="Lato" w:hAnsi="Lato" w:eastAsia="Lato"/>
                <w:b/>
                <w:color w:val="6F46C8"/>
                <w:sz w:val="18"/>
              </w:rPr>
              <w:t xml:space="preserve">2  </w:t>
            </w:r>
            <w:r>
              <w:rPr>
                <w:rFonts w:ascii="Lato" w:hAnsi="Lato" w:eastAsia="Lato"/>
                <w:b/>
                <w:color w:val="0B2A55"/>
                <w:sz w:val="17"/>
              </w:rPr>
              <w:t xml:space="preserve">Teach the weekly focus: </w:t>
            </w:r>
            <w:r>
              <w:rPr>
                <w:rFonts w:ascii="Lato" w:hAnsi="Lato" w:eastAsia="Lato"/>
                <w:color w:val="24344D"/>
                <w:sz w:val="16"/>
              </w:rPr>
              <w:t>Use the topic as a learning target, then select practice at the student’s level.</w:t>
            </w:r>
          </w:p>
          <w:p>
            <w:pPr>
              <w:spacing w:before="0" w:after="80" w:line="240" w:lineRule="auto"/>
              <w:ind w:left="29"/>
            </w:pPr>
            <w:r>
              <w:rPr>
                <w:rFonts w:ascii="Lato" w:hAnsi="Lato" w:eastAsia="Lato"/>
                <w:b/>
                <w:color w:val="6F46C8"/>
                <w:sz w:val="18"/>
              </w:rPr>
              <w:t xml:space="preserve">3  </w:t>
            </w:r>
            <w:r>
              <w:rPr>
                <w:rFonts w:ascii="Lato" w:hAnsi="Lato" w:eastAsia="Lato"/>
                <w:b/>
                <w:color w:val="0B2A55"/>
                <w:sz w:val="17"/>
              </w:rPr>
              <w:t xml:space="preserve">Keep evidence: </w:t>
            </w:r>
            <w:r>
              <w:rPr>
                <w:rFonts w:ascii="Lato" w:hAnsi="Lato" w:eastAsia="Lato"/>
                <w:color w:val="24344D"/>
                <w:sz w:val="16"/>
              </w:rPr>
              <w:t>Save a few work samples, reading notes, lab pages, and project photos.</w:t>
            </w:r>
          </w:p>
          <w:p>
            <w:pPr>
              <w:spacing w:before="0" w:after="80" w:line="240" w:lineRule="auto"/>
              <w:ind w:left="29"/>
            </w:pPr>
            <w:r>
              <w:rPr>
                <w:rFonts w:ascii="Lato" w:hAnsi="Lato" w:eastAsia="Lato"/>
                <w:b/>
                <w:color w:val="6F46C8"/>
                <w:sz w:val="18"/>
              </w:rPr>
              <w:t xml:space="preserve">4  </w:t>
            </w:r>
            <w:r>
              <w:rPr>
                <w:rFonts w:ascii="Lato" w:hAnsi="Lato" w:eastAsia="Lato"/>
                <w:b/>
                <w:color w:val="0B2A55"/>
                <w:sz w:val="17"/>
              </w:rPr>
              <w:t xml:space="preserve">Adjust without guilt: </w:t>
            </w:r>
            <w:r>
              <w:rPr>
                <w:rFonts w:ascii="Lato" w:hAnsi="Lato" w:eastAsia="Lato"/>
                <w:color w:val="24344D"/>
                <w:sz w:val="16"/>
              </w:rPr>
              <w:t>Repeat, shorten, reorder, or skip material when the learner’s needs call for it.</w:t>
            </w:r>
          </w:p>
        </w:tc>
      </w:tr>
    </w:tbl>
    <w:p>
      <w:pPr>
        <w:spacing w:after="0"/>
      </w:pPr>
    </w:p>
    <w:p>
      <w:pPr>
        <w:spacing w:before="0" w:after="60" w:line="240" w:lineRule="auto"/>
      </w:pPr>
      <w:r>
        <w:rPr>
          <w:rFonts w:ascii="Lato" w:hAnsi="Lato" w:eastAsia="Lato"/>
          <w:b/>
          <w:color w:val="6F46C8"/>
          <w:sz w:val="18"/>
        </w:rPr>
        <w:t>SUGGESTED WEEKLY RHYTHM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2880"/>
        <w:gridCol w:w="2880"/>
        <w:gridCol w:w="2880"/>
        <w:gridCol w:w="2880"/>
      </w:tblGrid>
      <w:tr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6F46C8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Monday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6F46C8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Tuesday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6F46C8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Wednesday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6F46C8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Thursday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6F46C8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Friday</w:t>
            </w:r>
          </w:p>
        </w:tc>
      </w:tr>
      <w:tr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color w:val="24344D"/>
                <w:sz w:val="15"/>
              </w:rPr>
              <w:t>Introduce and model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color w:val="24344D"/>
                <w:sz w:val="15"/>
              </w:rPr>
              <w:t>Guided practice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color w:val="24344D"/>
                <w:sz w:val="15"/>
              </w:rPr>
              <w:t>Apply and discuss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color w:val="24344D"/>
                <w:sz w:val="15"/>
              </w:rPr>
              <w:t>Check mastery and extend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color w:val="24344D"/>
                <w:sz w:val="15"/>
              </w:rPr>
              <w:t>Project, review, catch-up, or field trip</w:t>
            </w:r>
          </w:p>
        </w:tc>
      </w:tr>
    </w:tbl>
    <w:p>
      <w:pPr>
        <w:spacing w:before="80" w:after="0"/>
      </w:pPr>
      <w:r>
        <w:rPr>
          <w:rFonts w:ascii="Lato" w:hAnsi="Lato" w:eastAsia="Lato"/>
          <w:b/>
          <w:color w:val="0B2A55"/>
          <w:sz w:val="16"/>
        </w:rPr>
        <w:t xml:space="preserve">Planning note: </w:t>
      </w:r>
      <w:r>
        <w:rPr>
          <w:rFonts w:ascii="Lato" w:hAnsi="Lato" w:eastAsia="Lato"/>
          <w:i/>
          <w:color w:val="5E6B7D"/>
          <w:sz w:val="16"/>
        </w:rPr>
        <w:t>This is a flexible, standards-informed sequence - not a state-certified curriculum, legal filing, or guarantee of credit. Verify homeschool, attendance, assessment, and graduation rules where you live.</w:t>
      </w:r>
    </w:p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Quarter 1 | Weeks 1-9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Two four-week learning units plus a review and showcase week. Weeks 1-9.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6F46C8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>MATH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Advanced function analysis and modeling / Polynomial and rational functions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>ELA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British foundations and close reading / Shakespeare and drama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>SCIENCE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Environmental systems and scientific analysis / Biodiversity and ecosystem resilience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>SOCIAL STUDIES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Civic foundations and constitutional principles / Federalism, branches, checks, administration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blHeader w:val="true"/>
        </w:trPr>
        <w:tc>
          <w:tcPr>
            <w:tcW w:type="dxa" w:w="691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Week</w:t>
            </w:r>
          </w:p>
        </w:tc>
        <w:tc>
          <w:tcPr>
            <w:tcW w:type="dxa" w:w="2563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Math</w:t>
            </w:r>
          </w:p>
        </w:tc>
        <w:tc>
          <w:tcPr>
            <w:tcW w:type="dxa" w:w="2649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English / ELA</w:t>
            </w:r>
          </w:p>
        </w:tc>
        <w:tc>
          <w:tcPr>
            <w:tcW w:type="dxa" w:w="2563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Science</w:t>
            </w:r>
          </w:p>
        </w:tc>
        <w:tc>
          <w:tcPr>
            <w:tcW w:type="dxa" w:w="2649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Social Studies</w:t>
            </w:r>
          </w:p>
        </w:tc>
        <w:tc>
          <w:tcPr>
            <w:tcW w:type="dxa" w:w="2764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Family / Project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Advanced function analysis and modeling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British foundations and close reading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Environmental systems and scientific analysis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Civic foundations and constitutional principles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Graduation Requirements Audit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Advanced function analysis and modeling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British foundations and close reading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Environmental systems and scientific analysis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Civic foundations and constitutional principles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Graduation Requirements Audit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Advanced function analysis and modeling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British foundations and close reading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Environmental systems and scientific analysis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Civic foundations and constitutional principles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Graduation Requirements Audit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4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Advanced function analysis and modeling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British foundations and close reading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Environmental systems and scientific analysis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Civic foundations and constitutional principles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Graduation Requirements Audit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5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Polynomial and rational functions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Shakespeare and drama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Biodiversity and ecosystem resilience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Federalism, branches, checks, administration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Quantitative Modeling Project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6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Polynomial and rational functions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Shakespeare and drama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Biodiversity and ecosystem resilience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Federalism, branches, checks, administration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Quantitative Modeling Project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7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Polynomial and rational functions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Shakespeare and drama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Biodiversity and ecosystem resilience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Federalism, branches, checks, administration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Quantitative Modeling Project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8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Polynomial and rational functions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Shakespeare and drama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Biodiversity and ecosystem resilience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Federalism, branches, checks, administration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Quantitative Modeling Project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9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Spiral review, fluency check, and applied task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Portfolio check, reading conference, and polished writing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Concept map, evidence explanation, and investigation reflection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Source analysis, map/timeline review, and discussion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Quarter showcase, goal reset, and flexible catch-up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 xml:space="preserve">KEEP  </w:t>
            </w:r>
            <w:r>
              <w:rPr>
                <w:rFonts w:ascii="Lato" w:hAnsi="Lato" w:eastAsia="Lato"/>
                <w:color w:val="24344D"/>
                <w:sz w:val="15"/>
              </w:rPr>
              <w:t>Which routines and resources worked well?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 xml:space="preserve">ADJUST  </w:t>
            </w:r>
            <w:r>
              <w:rPr>
                <w:rFonts w:ascii="Lato" w:hAnsi="Lato" w:eastAsia="Lato"/>
                <w:color w:val="24344D"/>
                <w:sz w:val="15"/>
              </w:rPr>
              <w:t>Which skill needs more time or a different approach?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 xml:space="preserve">CELEBRATE  </w:t>
            </w:r>
            <w:r>
              <w:rPr>
                <w:rFonts w:ascii="Lato" w:hAnsi="Lato" w:eastAsia="Lato"/>
                <w:color w:val="24344D"/>
                <w:sz w:val="15"/>
              </w:rPr>
              <w:t>Choose one work sample that shows meaningful growth.</w:t>
            </w:r>
          </w:p>
        </w:tc>
      </w:tr>
    </w:tbl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Quarter 2 | Weeks 10-18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Two four-week learning units plus a review and showcase week. Weeks 10-18.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6F46C8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>MATH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Exponential and logarithmic models / Trigonometry and periodic modeling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>ELA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Enlightenment and Romantic literature / Victorian literature and social change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>SCIENCE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Population dynamics and resource use / Water, soil, agriculture, and Earth systems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>SOCIAL STUDIES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Civil liberties, civil rights, and courts / Elections, parties, media, and participation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blHeader w:val="true"/>
        </w:trPr>
        <w:tc>
          <w:tcPr>
            <w:tcW w:type="dxa" w:w="691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Week</w:t>
            </w:r>
          </w:p>
        </w:tc>
        <w:tc>
          <w:tcPr>
            <w:tcW w:type="dxa" w:w="2563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Math</w:t>
            </w:r>
          </w:p>
        </w:tc>
        <w:tc>
          <w:tcPr>
            <w:tcW w:type="dxa" w:w="2649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English / ELA</w:t>
            </w:r>
          </w:p>
        </w:tc>
        <w:tc>
          <w:tcPr>
            <w:tcW w:type="dxa" w:w="2563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Science</w:t>
            </w:r>
          </w:p>
        </w:tc>
        <w:tc>
          <w:tcPr>
            <w:tcW w:type="dxa" w:w="2649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Social Studies</w:t>
            </w:r>
          </w:p>
        </w:tc>
        <w:tc>
          <w:tcPr>
            <w:tcW w:type="dxa" w:w="2764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Family / Project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10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Exponential and logarithmic models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Enlightenment and Romantic literature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Population dynamics and resource use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Civil liberties, civil rights, and courts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Shakespeare Seminar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11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Exponential and logarithmic models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Enlightenment and Romantic literature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Population dynamics and resource use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Civil liberties, civil rights, and courts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Shakespeare Seminar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12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Exponential and logarithmic models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Enlightenment and Romantic literature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Population dynamics and resource use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Civil liberties, civil rights, and courts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Shakespeare Seminar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13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Exponential and logarithmic models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Enlightenment and Romantic literature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Population dynamics and resource use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Civil liberties, civil rights, and courts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Shakespeare Seminar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14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Trigonometry and periodic modeling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Victorian literature and social change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Water, soil, agriculture, and Earth systems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Elections, parties, media, and participation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Constitutional Law Case Brief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15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Trigonometry and periodic modeling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Victorian literature and social change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Water, soil, agriculture, and Earth systems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Elections, parties, media, and participation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Constitutional Law Case Brief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16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Trigonometry and periodic modeling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Victorian literature and social change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Water, soil, agriculture, and Earth systems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Elections, parties, media, and participation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Constitutional Law Case Brief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17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Trigonometry and periodic modeling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Victorian literature and social change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Water, soil, agriculture, and Earth systems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Elections, parties, media, and participation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Constitutional Law Case Brief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18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Spiral review, fluency check, and applied task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Portfolio check, reading conference, and polished writing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Concept map, evidence explanation, and investigation reflection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Source analysis, map/timeline review, and discussion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Quarter showcase, goal reset, and flexible catch-up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 xml:space="preserve">KEEP  </w:t>
            </w:r>
            <w:r>
              <w:rPr>
                <w:rFonts w:ascii="Lato" w:hAnsi="Lato" w:eastAsia="Lato"/>
                <w:color w:val="24344D"/>
                <w:sz w:val="15"/>
              </w:rPr>
              <w:t>Which routines and resources worked well?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 xml:space="preserve">ADJUST  </w:t>
            </w:r>
            <w:r>
              <w:rPr>
                <w:rFonts w:ascii="Lato" w:hAnsi="Lato" w:eastAsia="Lato"/>
                <w:color w:val="24344D"/>
                <w:sz w:val="15"/>
              </w:rPr>
              <w:t>Which skill needs more time or a different approach?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 xml:space="preserve">CELEBRATE  </w:t>
            </w:r>
            <w:r>
              <w:rPr>
                <w:rFonts w:ascii="Lato" w:hAnsi="Lato" w:eastAsia="Lato"/>
                <w:color w:val="24344D"/>
                <w:sz w:val="15"/>
              </w:rPr>
              <w:t>Choose one work sample that shows meaningful growth.</w:t>
            </w:r>
          </w:p>
        </w:tc>
      </w:tr>
    </w:tbl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Quarter 3 | Weeks 19-27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Two four-week learning units plus a review and showcase week. Weeks 19-27.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6F46C8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>MATH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Analytic geometry and vectors / Sequences, series, and introduction to limits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>ELA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Modern British and world voices / Rhetoric, argument, and public communication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>SCIENCE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Energy resources and technology / Climate science and evidence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>SOCIAL STUDIES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Microeconomics, markets, and consumer choice / Macroeconomics, policy, and global trade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blHeader w:val="true"/>
        </w:trPr>
        <w:tc>
          <w:tcPr>
            <w:tcW w:type="dxa" w:w="691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Week</w:t>
            </w:r>
          </w:p>
        </w:tc>
        <w:tc>
          <w:tcPr>
            <w:tcW w:type="dxa" w:w="2563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Math</w:t>
            </w:r>
          </w:p>
        </w:tc>
        <w:tc>
          <w:tcPr>
            <w:tcW w:type="dxa" w:w="2649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English / ELA</w:t>
            </w:r>
          </w:p>
        </w:tc>
        <w:tc>
          <w:tcPr>
            <w:tcW w:type="dxa" w:w="2563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Science</w:t>
            </w:r>
          </w:p>
        </w:tc>
        <w:tc>
          <w:tcPr>
            <w:tcW w:type="dxa" w:w="2649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Social Studies</w:t>
            </w:r>
          </w:p>
        </w:tc>
        <w:tc>
          <w:tcPr>
            <w:tcW w:type="dxa" w:w="2764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Family / Project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19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Analytic geometry and vectors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Modern British and world voices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Energy resources and technology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Microeconomics, markets, and consumer choice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Environmental Field Study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20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Analytic geometry and vectors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Modern British and world voices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Energy resources and technology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Microeconomics, markets, and consumer choice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Environmental Field Study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21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Analytic geometry and vectors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Modern British and world voices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Energy resources and technology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Microeconomics, markets, and consumer choice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Environmental Field Study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22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Analytic geometry and vectors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Modern British and world voices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Energy resources and technology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Microeconomics, markets, and consumer choice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Environmental Field Study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23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Sequences, series, and introduction to limits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Rhetoric, argument, and public communication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Climate science and evidence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Macroeconomics, policy, and global trade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Personal Finance Portfolio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24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Sequences, series, and introduction to limits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Rhetoric, argument, and public communication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Climate science and evidence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Macroeconomics, policy, and global trade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Personal Finance Portfolio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25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Sequences, series, and introduction to limits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Rhetoric, argument, and public communication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Climate science and evidence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Macroeconomics, policy, and global trade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Personal Finance Portfolio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26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Sequences, series, and introduction to limits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Rhetoric, argument, and public communication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Climate science and evidence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Macroeconomics, policy, and global trade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Personal Finance Portfolio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27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Spiral review, fluency check, and applied task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Portfolio check, reading conference, and polished writing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Concept map, evidence explanation, and investigation reflection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Source analysis, map/timeline review, and discussion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Quarter showcase, goal reset, and flexible catch-up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 xml:space="preserve">KEEP  </w:t>
            </w:r>
            <w:r>
              <w:rPr>
                <w:rFonts w:ascii="Lato" w:hAnsi="Lato" w:eastAsia="Lato"/>
                <w:color w:val="24344D"/>
                <w:sz w:val="15"/>
              </w:rPr>
              <w:t>Which routines and resources worked well?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 xml:space="preserve">ADJUST  </w:t>
            </w:r>
            <w:r>
              <w:rPr>
                <w:rFonts w:ascii="Lato" w:hAnsi="Lato" w:eastAsia="Lato"/>
                <w:color w:val="24344D"/>
                <w:sz w:val="15"/>
              </w:rPr>
              <w:t>Which skill needs more time or a different approach?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 xml:space="preserve">CELEBRATE  </w:t>
            </w:r>
            <w:r>
              <w:rPr>
                <w:rFonts w:ascii="Lato" w:hAnsi="Lato" w:eastAsia="Lato"/>
                <w:color w:val="24344D"/>
                <w:sz w:val="15"/>
              </w:rPr>
              <w:t>Choose one work sample that shows meaningful growth.</w:t>
            </w:r>
          </w:p>
        </w:tc>
      </w:tr>
    </w:tbl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Quarter 4 | Weeks 28-36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Two four-week learning units plus a review and showcase week. Weeks 28-36.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6F46C8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>MATH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Statistics, probability, and data literacy / Financial mathematics and quantitative capstone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>ELA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Senior research and source synthesis / Independent literature study and portfolio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>SCIENCE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Pollution, health, and policy / Sustainability design and capstone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>SOCIAL STUDIES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Budgeting, credit, taxes, and investing / Public-policy inquiry and transition planning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blHeader w:val="true"/>
        </w:trPr>
        <w:tc>
          <w:tcPr>
            <w:tcW w:type="dxa" w:w="691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Week</w:t>
            </w:r>
          </w:p>
        </w:tc>
        <w:tc>
          <w:tcPr>
            <w:tcW w:type="dxa" w:w="2563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Math</w:t>
            </w:r>
          </w:p>
        </w:tc>
        <w:tc>
          <w:tcPr>
            <w:tcW w:type="dxa" w:w="2649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English / ELA</w:t>
            </w:r>
          </w:p>
        </w:tc>
        <w:tc>
          <w:tcPr>
            <w:tcW w:type="dxa" w:w="2563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Science</w:t>
            </w:r>
          </w:p>
        </w:tc>
        <w:tc>
          <w:tcPr>
            <w:tcW w:type="dxa" w:w="2649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Social Studies</w:t>
            </w:r>
          </w:p>
        </w:tc>
        <w:tc>
          <w:tcPr>
            <w:tcW w:type="dxa" w:w="2764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Family / Project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28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Statistics, probability, and data literacy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Senior research and source synthesis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Pollution, health, and policy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Budgeting, credit, taxes, and investing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Senior Research Presentation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29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Statistics, probability, and data literacy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Senior research and source synthesis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Pollution, health, and policy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Budgeting, credit, taxes, and investing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Senior Research Presentation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30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Statistics, probability, and data literacy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Senior research and source synthesis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Pollution, health, and policy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Budgeting, credit, taxes, and investing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Senior Research Presentation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31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Statistics, probability, and data literacy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Senior research and source synthesis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Pollution, health, and policy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Budgeting, credit, taxes, and investing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Senior Research Presentation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32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Financial mathematics and quantitative capstone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Independent literature study and portfolio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Sustainability design and capstone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Public-policy inquiry and transition planning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Graduation Capstone and Next Steps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33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Financial mathematics and quantitative capstone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Independent literature study and portfolio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Sustainability design and capstone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Public-policy inquiry and transition planning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Graduation Capstone and Next Steps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34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Financial mathematics and quantitative capstone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Independent literature study and portfolio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Sustainability design and capstone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Public-policy inquiry and transition planning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Graduation Capstone and Next Steps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35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Financial mathematics and quantitative capstone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Independent literature study and portfolio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Sustainability design and capstone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Public-policy inquiry and transition planning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Graduation Capstone and Next Steps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36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Spiral review, fluency check, and applied task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Portfolio check, reading conference, and polished writing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Concept map, evidence explanation, and investigation reflection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Source analysis, map/timeline review, and discussion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Quarter showcase, goal reset, and flexible catch-up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 xml:space="preserve">KEEP  </w:t>
            </w:r>
            <w:r>
              <w:rPr>
                <w:rFonts w:ascii="Lato" w:hAnsi="Lato" w:eastAsia="Lato"/>
                <w:color w:val="24344D"/>
                <w:sz w:val="15"/>
              </w:rPr>
              <w:t>Which routines and resources worked well?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 xml:space="preserve">ADJUST  </w:t>
            </w:r>
            <w:r>
              <w:rPr>
                <w:rFonts w:ascii="Lato" w:hAnsi="Lato" w:eastAsia="Lato"/>
                <w:color w:val="24344D"/>
                <w:sz w:val="15"/>
              </w:rPr>
              <w:t>Which skill needs more time or a different approach?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 xml:space="preserve">CELEBRATE  </w:t>
            </w:r>
            <w:r>
              <w:rPr>
                <w:rFonts w:ascii="Lato" w:hAnsi="Lato" w:eastAsia="Lato"/>
                <w:color w:val="24344D"/>
                <w:sz w:val="15"/>
              </w:rPr>
              <w:t>Choose one work sample that shows meaningful growth.</w:t>
            </w:r>
          </w:p>
        </w:tc>
      </w:tr>
    </w:tbl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Teaching Routine, Progress Tracker, and Resources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Use this page throughout the year; print extra copies of the tracker as needed.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6F46C8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7128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tcMar>
              <w:top w:w="90" w:type="dxa"/>
              <w:start w:w="110" w:type="dxa"/>
              <w:bottom w:w="85" w:type="dxa"/>
              <w:end w:w="110" w:type="dxa"/>
            </w:tcMar>
            <w:shd w:fill="FFFFFF" w:val="clear"/>
          </w:tcPr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6F46C8"/>
                <w:sz w:val="18"/>
              </w:rPr>
              <w:t>A SIMPLE DAILY LEARNING BLOCK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</w:tblPr>
            <w:tblGrid>
              <w:gridCol w:w="2376"/>
              <w:gridCol w:w="2376"/>
              <w:gridCol w:w="2376"/>
            </w:tblGrid>
            <w:tr>
              <w:tc>
                <w:tcPr>
                  <w:tcW w:type="dxa" w:w="1440"/>
                  <w:tcBorders>
                    <w:top w:val="nil"/>
                    <w:left w:val="nil"/>
                    <w:bottom w:val="nil"/>
                    <w:right w:val="nil"/>
                  </w:tcBorders>
                  <w:shd w:fill="F3EEFB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5"/>
                    </w:rPr>
                    <w:t>1. Warm up</w:t>
                  </w:r>
                </w:p>
              </w:tc>
              <w:tc>
                <w:tcPr>
                  <w:tcW w:type="dxa" w:w="1036"/>
                  <w:tcBorders>
                    <w:top w:val="nil"/>
                    <w:left w:val="nil"/>
                    <w:bottom w:val="nil"/>
                    <w:right w:val="nil"/>
                  </w:tcBorders>
                  <w:shd w:fill="F3EEFB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Lato" w:hAnsi="Lato" w:eastAsia="Lato"/>
                      <w:b/>
                      <w:color w:val="6F46C8"/>
                      <w:sz w:val="15"/>
                    </w:rPr>
                    <w:t>5-15 min</w:t>
                  </w:r>
                </w:p>
              </w:tc>
              <w:tc>
                <w:tcPr>
                  <w:tcW w:type="dxa" w:w="4031"/>
                  <w:tcBorders>
                    <w:top w:val="nil"/>
                    <w:left w:val="nil"/>
                    <w:bottom w:val="nil"/>
                    <w:right w:val="nil"/>
                  </w:tcBorders>
                  <w:shd w:fill="F3EEFB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5"/>
                    </w:rPr>
                    <w:t>Quick review, read-aloud, mental math, or vocabulary.</w:t>
                  </w:r>
                </w:p>
              </w:tc>
            </w:tr>
            <w:tr>
              <w:tc>
                <w:tcPr>
                  <w:tcW w:type="dxa" w:w="1440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5"/>
                    </w:rPr>
                    <w:t>2. Teach</w:t>
                  </w:r>
                </w:p>
              </w:tc>
              <w:tc>
                <w:tcPr>
                  <w:tcW w:type="dxa" w:w="1036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Lato" w:hAnsi="Lato" w:eastAsia="Lato"/>
                      <w:b/>
                      <w:color w:val="6F46C8"/>
                      <w:sz w:val="15"/>
                    </w:rPr>
                    <w:t>15-35 min</w:t>
                  </w:r>
                </w:p>
              </w:tc>
              <w:tc>
                <w:tcPr>
                  <w:tcW w:type="dxa" w:w="4031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5"/>
                    </w:rPr>
                    <w:t>Model one clear objective with examples, text, or demonstration.</w:t>
                  </w:r>
                </w:p>
              </w:tc>
            </w:tr>
            <w:tr>
              <w:tc>
                <w:tcPr>
                  <w:tcW w:type="dxa" w:w="1440"/>
                  <w:tcBorders>
                    <w:top w:val="nil"/>
                    <w:left w:val="nil"/>
                    <w:bottom w:val="nil"/>
                    <w:right w:val="nil"/>
                  </w:tcBorders>
                  <w:shd w:fill="F3EEFB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5"/>
                    </w:rPr>
                    <w:t>3. Practice</w:t>
                  </w:r>
                </w:p>
              </w:tc>
              <w:tc>
                <w:tcPr>
                  <w:tcW w:type="dxa" w:w="1036"/>
                  <w:tcBorders>
                    <w:top w:val="nil"/>
                    <w:left w:val="nil"/>
                    <w:bottom w:val="nil"/>
                    <w:right w:val="nil"/>
                  </w:tcBorders>
                  <w:shd w:fill="F3EEFB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Lato" w:hAnsi="Lato" w:eastAsia="Lato"/>
                      <w:b/>
                      <w:color w:val="6F46C8"/>
                      <w:sz w:val="15"/>
                    </w:rPr>
                    <w:t>15-45 min</w:t>
                  </w:r>
                </w:p>
              </w:tc>
              <w:tc>
                <w:tcPr>
                  <w:tcW w:type="dxa" w:w="4031"/>
                  <w:tcBorders>
                    <w:top w:val="nil"/>
                    <w:left w:val="nil"/>
                    <w:bottom w:val="nil"/>
                    <w:right w:val="nil"/>
                  </w:tcBorders>
                  <w:shd w:fill="F3EEFB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5"/>
                    </w:rPr>
                    <w:t>Use online skills, discussion, writing, lab work, or a printable.</w:t>
                  </w:r>
                </w:p>
              </w:tc>
            </w:tr>
            <w:tr>
              <w:tc>
                <w:tcPr>
                  <w:tcW w:type="dxa" w:w="1440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5"/>
                    </w:rPr>
                    <w:t>4. Apply</w:t>
                  </w:r>
                </w:p>
              </w:tc>
              <w:tc>
                <w:tcPr>
                  <w:tcW w:type="dxa" w:w="1036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Lato" w:hAnsi="Lato" w:eastAsia="Lato"/>
                      <w:b/>
                      <w:color w:val="6F46C8"/>
                      <w:sz w:val="15"/>
                    </w:rPr>
                    <w:t>10-35 min</w:t>
                  </w:r>
                </w:p>
              </w:tc>
              <w:tc>
                <w:tcPr>
                  <w:tcW w:type="dxa" w:w="4031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5"/>
                    </w:rPr>
                    <w:t>Solve, explain, create, investigate, compare, or teach it back.</w:t>
                  </w:r>
                </w:p>
              </w:tc>
            </w:tr>
            <w:tr>
              <w:tc>
                <w:tcPr>
                  <w:tcW w:type="dxa" w:w="1440"/>
                  <w:tcBorders>
                    <w:top w:val="nil"/>
                    <w:left w:val="nil"/>
                    <w:bottom w:val="nil"/>
                    <w:right w:val="nil"/>
                  </w:tcBorders>
                  <w:shd w:fill="F3EEFB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5"/>
                    </w:rPr>
                    <w:t>5. Record</w:t>
                  </w:r>
                </w:p>
              </w:tc>
              <w:tc>
                <w:tcPr>
                  <w:tcW w:type="dxa" w:w="1036"/>
                  <w:tcBorders>
                    <w:top w:val="nil"/>
                    <w:left w:val="nil"/>
                    <w:bottom w:val="nil"/>
                    <w:right w:val="nil"/>
                  </w:tcBorders>
                  <w:shd w:fill="F3EEFB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Lato" w:hAnsi="Lato" w:eastAsia="Lato"/>
                      <w:b/>
                      <w:color w:val="6F46C8"/>
                      <w:sz w:val="15"/>
                    </w:rPr>
                    <w:t>2-5 min</w:t>
                  </w:r>
                </w:p>
              </w:tc>
              <w:tc>
                <w:tcPr>
                  <w:tcW w:type="dxa" w:w="4031"/>
                  <w:tcBorders>
                    <w:top w:val="nil"/>
                    <w:left w:val="nil"/>
                    <w:bottom w:val="nil"/>
                    <w:right w:val="nil"/>
                  </w:tcBorders>
                  <w:shd w:fill="F3EEFB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5"/>
                    </w:rPr>
                    <w:t>Mark progress and save one useful piece of evidence when appropriate.</w:t>
                  </w:r>
                </w:p>
              </w:tc>
            </w:tr>
          </w:tbl>
          <w:p/>
        </w:tc>
        <w:tc>
          <w:tcPr>
            <w:tcW w:type="dxa" w:w="7128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tcMar>
              <w:top w:w="90" w:type="dxa"/>
              <w:start w:w="110" w:type="dxa"/>
              <w:bottom w:w="85" w:type="dxa"/>
              <w:end w:w="110" w:type="dxa"/>
            </w:tcMar>
            <w:shd w:fill="F3EEFB" w:val="clear"/>
          </w:tcPr>
          <w:p>
            <w:pPr>
              <w:spacing w:before="0" w:after="100" w:line="240" w:lineRule="auto"/>
            </w:pPr>
            <w:r>
              <w:rPr>
                <w:rFonts w:ascii="Lato" w:hAnsi="Lato" w:eastAsia="Lato"/>
                <w:b/>
                <w:color w:val="6F46C8"/>
                <w:sz w:val="18"/>
              </w:rPr>
              <w:t>ADAPT THE PLAN TO THE LEARNER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When work is too hard: </w:t>
            </w:r>
            <w:r>
              <w:rPr>
                <w:rFonts w:ascii="Lato" w:hAnsi="Lato" w:eastAsia="Lato"/>
                <w:color w:val="24344D"/>
                <w:sz w:val="15"/>
              </w:rPr>
              <w:t>Reduce the amount, model more examples, use concrete materials, and revisit prerequisites.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When work is too easy: </w:t>
            </w:r>
            <w:r>
              <w:rPr>
                <w:rFonts w:ascii="Lato" w:hAnsi="Lato" w:eastAsia="Lato"/>
                <w:color w:val="24344D"/>
                <w:sz w:val="15"/>
              </w:rPr>
              <w:t>Compact repeated practice, ask for deeper explanations, and add authentic projects or advanced text.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For attention or stamina: </w:t>
            </w:r>
            <w:r>
              <w:rPr>
                <w:rFonts w:ascii="Lato" w:hAnsi="Lato" w:eastAsia="Lato"/>
                <w:color w:val="24344D"/>
                <w:sz w:val="15"/>
              </w:rPr>
              <w:t>Use shorter blocks, movement breaks, choice, timers, and a visible checklist.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For reading support: </w:t>
            </w:r>
            <w:r>
              <w:rPr>
                <w:rFonts w:ascii="Lato" w:hAnsi="Lato" w:eastAsia="Lato"/>
                <w:color w:val="24344D"/>
                <w:sz w:val="15"/>
              </w:rPr>
              <w:t>Read directions aloud, use audio plus print, preteach vocabulary, and accept oral responses when appropriate.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For advanced independence: </w:t>
            </w:r>
            <w:r>
              <w:rPr>
                <w:rFonts w:ascii="Lato" w:hAnsi="Lato" w:eastAsia="Lato"/>
                <w:color w:val="24344D"/>
                <w:sz w:val="15"/>
              </w:rPr>
              <w:t>Let the student plan part of the week, select resources, track data, and lead conferences.</w:t>
            </w:r>
          </w:p>
        </w:tc>
      </w:tr>
    </w:tbl>
    <w:p>
      <w:pPr>
        <w:spacing w:after="0"/>
      </w:pPr>
    </w:p>
    <w:p>
      <w:pPr>
        <w:spacing w:before="0" w:after="60" w:line="240" w:lineRule="auto"/>
      </w:pPr>
      <w:r>
        <w:rPr>
          <w:rFonts w:ascii="Lato" w:hAnsi="Lato" w:eastAsia="Lato"/>
          <w:b/>
          <w:color w:val="6F46C8"/>
          <w:sz w:val="18"/>
        </w:rPr>
        <w:t>QUARTERLY PROGRESS TRACKER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57"/>
        <w:gridCol w:w="2057"/>
        <w:gridCol w:w="2057"/>
        <w:gridCol w:w="2057"/>
        <w:gridCol w:w="2057"/>
        <w:gridCol w:w="2057"/>
        <w:gridCol w:w="2057"/>
      </w:tblGrid>
      <w:tr>
        <w:tc>
          <w:tcPr>
            <w:tcW w:type="dxa" w:w="1440"/>
            <w:shd w:fill="6F46C8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Checkpoint</w:t>
            </w:r>
          </w:p>
        </w:tc>
        <w:tc>
          <w:tcPr>
            <w:tcW w:type="dxa" w:w="1655"/>
            <w:shd w:fill="6F46C8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Math</w:t>
            </w:r>
          </w:p>
        </w:tc>
        <w:tc>
          <w:tcPr>
            <w:tcW w:type="dxa" w:w="1655"/>
            <w:shd w:fill="6F46C8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ELA</w:t>
            </w:r>
          </w:p>
        </w:tc>
        <w:tc>
          <w:tcPr>
            <w:tcW w:type="dxa" w:w="1655"/>
            <w:shd w:fill="6F46C8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Science</w:t>
            </w:r>
          </w:p>
        </w:tc>
        <w:tc>
          <w:tcPr>
            <w:tcW w:type="dxa" w:w="1800"/>
            <w:shd w:fill="6F46C8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Social Studies</w:t>
            </w:r>
          </w:p>
        </w:tc>
        <w:tc>
          <w:tcPr>
            <w:tcW w:type="dxa" w:w="3096"/>
            <w:shd w:fill="6F46C8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Portfolio evidence</w:t>
            </w:r>
          </w:p>
        </w:tc>
        <w:tc>
          <w:tcPr>
            <w:tcW w:type="dxa" w:w="2951"/>
            <w:shd w:fill="6F46C8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Next priority</w:t>
            </w:r>
          </w:p>
        </w:tc>
      </w:tr>
      <w:tr>
        <w:tc>
          <w:tcPr>
            <w:tcW w:type="dxa" w:w="1440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0B2A55"/>
                <w:sz w:val="15"/>
              </w:rPr>
              <w:t>Week 9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800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3096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  <w:tc>
          <w:tcPr>
            <w:tcW w:type="dxa" w:w="2951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</w:tr>
      <w:tr>
        <w:tc>
          <w:tcPr>
            <w:tcW w:type="dxa" w:w="1440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0B2A55"/>
                <w:sz w:val="15"/>
              </w:rPr>
              <w:t>Week 18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800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3096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  <w:tc>
          <w:tcPr>
            <w:tcW w:type="dxa" w:w="2951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</w:tr>
      <w:tr>
        <w:tc>
          <w:tcPr>
            <w:tcW w:type="dxa" w:w="1440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0B2A55"/>
                <w:sz w:val="15"/>
              </w:rPr>
              <w:t>Week 27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800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3096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  <w:tc>
          <w:tcPr>
            <w:tcW w:type="dxa" w:w="2951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</w:tr>
      <w:tr>
        <w:tc>
          <w:tcPr>
            <w:tcW w:type="dxa" w:w="1440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0B2A55"/>
                <w:sz w:val="15"/>
              </w:rPr>
              <w:t>Week 36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800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3096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  <w:tc>
          <w:tcPr>
            <w:tcW w:type="dxa" w:w="2951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720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tcMar>
              <w:top w:w="70" w:type="dxa"/>
              <w:start w:w="85" w:type="dxa"/>
              <w:bottom w:w="60" w:type="dxa"/>
              <w:end w:w="85" w:type="dxa"/>
            </w:tcMar>
            <w:shd w:fill="EFF7FF" w:val="clear"/>
          </w:tcPr>
          <w:p>
            <w:pPr>
              <w:spacing w:before="0" w:after="60" w:line="240" w:lineRule="auto"/>
            </w:pPr>
            <w:r>
              <w:rPr>
                <w:rFonts w:ascii="Lato" w:hAnsi="Lato" w:eastAsia="Lato"/>
                <w:b/>
                <w:color w:val="0868C9"/>
                <w:sz w:val="17"/>
              </w:rPr>
              <w:t>FREE K-12 PRACTICE RESOURCES</w:t>
            </w:r>
          </w:p>
          <w:p>
            <w:pPr>
              <w:spacing w:before="0" w:after="0" w:line="240" w:lineRule="auto"/>
            </w:pPr>
            <w:hyperlink r:id="rId11">
              <w:r>
                <w:rPr>
                  <w:rFonts w:ascii="Lato" w:hAnsi="Lato"/>
                  <w:color w:val="0868C9"/>
                  <w:u w:val="single"/>
                  <w:sz w:val="18"/>
                </w:rPr>
                <w:t>Free K-12 Practice home</w:t>
              </w:r>
            </w:hyperlink>
            <w:r>
              <w:t xml:space="preserve">   |   </w:t>
            </w:r>
            <w:hyperlink r:id="rId12">
              <w:r>
                <w:rPr>
                  <w:rFonts w:ascii="Lato" w:hAnsi="Lato"/>
                  <w:color w:val="0868C9"/>
                  <w:u w:val="single"/>
                  <w:sz w:val="18"/>
                </w:rPr>
                <w:t>Math practice</w:t>
              </w:r>
            </w:hyperlink>
            <w:r>
              <w:t xml:space="preserve">   |   </w:t>
            </w:r>
            <w:hyperlink r:id="rId13">
              <w:r>
                <w:rPr>
                  <w:rFonts w:ascii="Lato" w:hAnsi="Lato"/>
                  <w:color w:val="0868C9"/>
                  <w:u w:val="single"/>
                  <w:sz w:val="18"/>
                </w:rPr>
                <w:t>English / ELA practice</w:t>
              </w:r>
            </w:hyperlink>
            <w:r>
              <w:t xml:space="preserve">   |   </w:t>
            </w:r>
            <w:hyperlink r:id="rId14">
              <w:r>
                <w:rPr>
                  <w:rFonts w:ascii="Lato" w:hAnsi="Lato"/>
                  <w:color w:val="0868C9"/>
                  <w:u w:val="single"/>
                  <w:sz w:val="18"/>
                </w:rPr>
                <w:t>Science practice</w:t>
              </w:r>
            </w:hyperlink>
            <w:r>
              <w:t xml:space="preserve">   |   </w:t>
            </w:r>
            <w:hyperlink r:id="rId15">
              <w:r>
                <w:rPr>
                  <w:rFonts w:ascii="Lato" w:hAnsi="Lato"/>
                  <w:color w:val="0868C9"/>
                  <w:u w:val="single"/>
                  <w:sz w:val="18"/>
                </w:rPr>
                <w:t>Social studies practice</w:t>
              </w:r>
            </w:hyperlink>
            <w:r>
              <w:t xml:space="preserve">   |   </w:t>
            </w:r>
            <w:hyperlink r:id="rId16">
              <w:r>
                <w:rPr>
                  <w:rFonts w:ascii="Lato" w:hAnsi="Lato"/>
                  <w:color w:val="0868C9"/>
                  <w:u w:val="single"/>
                  <w:sz w:val="18"/>
                </w:rPr>
                <w:t>Printable worksheets</w:t>
              </w:r>
            </w:hyperlink>
          </w:p>
        </w:tc>
        <w:tc>
          <w:tcPr>
            <w:tcW w:type="dxa" w:w="720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tcMar>
              <w:top w:w="70" w:type="dxa"/>
              <w:start w:w="85" w:type="dxa"/>
              <w:bottom w:w="60" w:type="dxa"/>
              <w:end w:w="85" w:type="dxa"/>
            </w:tcMar>
            <w:shd w:fill="F7F9FC" w:val="clear"/>
          </w:tcPr>
          <w:p>
            <w:pPr>
              <w:spacing w:before="0" w:after="60" w:line="240" w:lineRule="auto"/>
            </w:pPr>
            <w:r>
              <w:rPr>
                <w:rFonts w:ascii="Lato" w:hAnsi="Lato" w:eastAsia="Lato"/>
                <w:b/>
                <w:color w:val="0B2A55"/>
                <w:sz w:val="17"/>
              </w:rPr>
              <w:t>STANDARDS AND LOCAL REQUIREMENTS</w:t>
            </w:r>
          </w:p>
          <w:p>
            <w:pPr>
              <w:spacing w:before="0" w:after="20" w:line="240" w:lineRule="auto"/>
            </w:pPr>
            <w:hyperlink r:id="rId17">
              <w:r>
                <w:rPr>
                  <w:rFonts w:ascii="Lato" w:hAnsi="Lato"/>
                  <w:color w:val="0B2A55"/>
                  <w:u w:val="single"/>
                  <w:sz w:val="18"/>
                </w:rPr>
                <w:t>Common Core mathematics and ELA</w:t>
              </w:r>
            </w:hyperlink>
            <w:r>
              <w:t xml:space="preserve">   |   </w:t>
            </w:r>
            <w:hyperlink r:id="rId18">
              <w:r>
                <w:rPr>
                  <w:rFonts w:ascii="Lato" w:hAnsi="Lato"/>
                  <w:color w:val="0B2A55"/>
                  <w:u w:val="single"/>
                  <w:sz w:val="18"/>
                </w:rPr>
                <w:t>Next Generation Science Standards</w:t>
              </w:r>
            </w:hyperlink>
            <w:r>
              <w:t xml:space="preserve">   |   </w:t>
            </w:r>
            <w:hyperlink r:id="rId19">
              <w:r>
                <w:rPr>
                  <w:rFonts w:ascii="Lato" w:hAnsi="Lato"/>
                  <w:color w:val="0B2A55"/>
                  <w:u w:val="single"/>
                  <w:sz w:val="18"/>
                </w:rPr>
                <w:t>C3 Framework for Social Studies</w:t>
              </w:r>
            </w:hyperlink>
          </w:p>
          <w:p>
            <w:r>
              <w:rPr>
                <w:rFonts w:ascii="Lato" w:hAnsi="Lato" w:eastAsia="Lato"/>
                <w:i/>
                <w:color w:val="5E6B7D"/>
                <w:sz w:val="15"/>
              </w:rPr>
              <w:t>Frameworks describe learning expectations; families should verify state-specific content, attendance, testing, recordkeeping, and graduation rules.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5840" w:h="12240" w:orient="landscape"/>
      <w:pgMar w:top="648" w:right="720" w:bottom="648" w:left="720" w:header="216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800"/>
      <w:gridCol w:w="4800"/>
      <w:gridCol w:w="4800"/>
    </w:tblGrid>
    <w:tr>
      <w:tc>
        <w:tcPr>
          <w:tcW w:type="dxa" w:w="6336"/>
          <w:tcBorders>
            <w:top w:val="single" w:sz="8" w:color="D7E1EC"/>
            <w:left w:val="nil"/>
            <w:bottom w:val="nil"/>
            <w:right w:val="nil"/>
          </w:tcBorders>
        </w:tcPr>
        <w:p>
          <w:r>
            <w:rPr>
              <w:rFonts w:ascii="Lato" w:hAnsi="Lato" w:eastAsia="Lato"/>
              <w:color w:val="5E6B7D"/>
              <w:sz w:val="16"/>
            </w:rPr>
            <w:t>Free K-12 Practice  |  freek12practice.itxwebsolutions.com</w:t>
          </w:r>
        </w:p>
      </w:tc>
      <w:tc>
        <w:tcPr>
          <w:tcW w:type="dxa" w:w="5040"/>
          <w:tcBorders>
            <w:top w:val="single" w:sz="8" w:color="D7E1EC"/>
            <w:left w:val="nil"/>
            <w:bottom w:val="nil"/>
            <w:right w:val="nil"/>
          </w:tcBorders>
        </w:tcPr>
        <w:p>
          <w:pPr>
            <w:jc w:val="center"/>
          </w:pPr>
          <w:r>
            <w:rPr>
              <w:rFonts w:ascii="Lato" w:hAnsi="Lato" w:eastAsia="Lato"/>
              <w:color w:val="5E6B7D"/>
              <w:sz w:val="15"/>
            </w:rPr>
            <w:t>Flexible planning guide - verify local requirements</w:t>
          </w:r>
        </w:p>
      </w:tc>
      <w:tc>
        <w:tcPr>
          <w:tcW w:type="dxa" w:w="3024"/>
          <w:tcBorders>
            <w:top w:val="single" w:sz="8" w:color="D7E1EC"/>
            <w:left w:val="nil"/>
            <w:bottom w:val="nil"/>
            <w:right w:val="nil"/>
          </w:tcBorders>
        </w:tcPr>
        <w:p>
          <w:pPr>
            <w:jc w:val="right"/>
          </w:pPr>
          <w:r>
            <w:rPr>
              <w:rFonts w:ascii="Lato" w:hAnsi="Lato" w:eastAsia="Lato"/>
              <w:color w:val="5E6B7D"/>
              <w:sz w:val="17"/>
            </w:rPr>
            <w:t xml:space="preserve">Page </w:t>
          </w:r>
          <w:r>
            <w:rPr>
              <w:rFonts w:ascii="Lato" w:hAnsi="Lato" w:eastAsia="Lato"/>
              <w:color w:val="5E6B7D"/>
              <w:sz w:val="17"/>
            </w:rP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7200"/>
      <w:gridCol w:w="7200"/>
    </w:tblGrid>
    <w:tr>
      <w:tc>
        <w:tcPr>
          <w:tcW w:type="dxa" w:w="4608"/>
          <w:tcBorders>
            <w:top w:val="nil"/>
            <w:left w:val="nil"/>
            <w:bottom w:val="single" w:sz="14" w:color="6F46C8"/>
            <w:right w:val="nil"/>
          </w:tcBorders>
          <w:vAlign w:val="center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2057400" cy="342900"/>
                <wp:docPr id="1" name="Picture 1" descr="Image: item1.xml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freek12_plan_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7400" cy="3429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9792"/>
          <w:tcBorders>
            <w:top w:val="nil"/>
            <w:left w:val="nil"/>
            <w:bottom w:val="single" w:sz="14" w:color="6F46C8"/>
            <w:right w:val="nil"/>
          </w:tcBorders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Lato" w:hAnsi="Lato" w:eastAsia="Lato"/>
              <w:b/>
              <w:color w:val="6F46C8"/>
              <w:sz w:val="17"/>
            </w:rPr>
            <w:t>GRADE 12 HOMESCHOOL PLAN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7" w:lineRule="auto"/>
    </w:pPr>
    <w:rPr>
      <w:rFonts w:ascii="Lato" w:hAnsi="Lato"/>
      <w:color w:val="24344D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Lato" w:hAnsi="Lato"/>
      <w:b/>
      <w:bCs/>
      <w:color w:val="0B2A55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Lato" w:hAnsi="Lato"/>
      <w:b/>
      <w:bCs/>
      <w:color w:val="0B2A5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Lato" w:hAnsi="Lato"/>
      <w:b/>
      <w:bCs/>
      <w:color w:val="0B2A5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Lato" w:hAnsi="Lato"/>
      <w:color w:val="0B2A55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freek12practice.itxwebsolutions.com/" TargetMode="External"/><Relationship Id="rId12" Type="http://schemas.openxmlformats.org/officeDocument/2006/relationships/hyperlink" Target="https://freek12practice.itxwebsolutions.com/browse/math" TargetMode="External"/><Relationship Id="rId13" Type="http://schemas.openxmlformats.org/officeDocument/2006/relationships/hyperlink" Target="https://freek12practice.itxwebsolutions.com/browse/english" TargetMode="External"/><Relationship Id="rId14" Type="http://schemas.openxmlformats.org/officeDocument/2006/relationships/hyperlink" Target="https://freek12practice.itxwebsolutions.com/browse/science" TargetMode="External"/><Relationship Id="rId15" Type="http://schemas.openxmlformats.org/officeDocument/2006/relationships/hyperlink" Target="https://freek12practice.itxwebsolutions.com/browse/social-studies" TargetMode="External"/><Relationship Id="rId16" Type="http://schemas.openxmlformats.org/officeDocument/2006/relationships/hyperlink" Target="https://freek12practice.itxwebsolutions.com/worksheets" TargetMode="External"/><Relationship Id="rId17" Type="http://schemas.openxmlformats.org/officeDocument/2006/relationships/hyperlink" Target="https://corestandards.org/" TargetMode="External"/><Relationship Id="rId18" Type="http://schemas.openxmlformats.org/officeDocument/2006/relationships/hyperlink" Target="https://www.nextgenscience.org/standards" TargetMode="External"/><Relationship Id="rId19" Type="http://schemas.openxmlformats.org/officeDocument/2006/relationships/hyperlink" Target="https://www.socialstudies.org/standards/c3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Grade 12 Homeschool Plan</dc:title>
  <dc:subject>Free K-12 Practice homeschool planning guide</dc:subject>
  <dc:creator>Free K-12 Practice</dc:creator>
  <cp:keywords>homeschool, K-12, learning plan, worksheets, practice</cp:keywords>
  <dc:description>Generated as a flexible, standards-informed planning resource.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