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Grade 3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Build multiplication, division, paragraph writing, scientific explanations, and local civic knowledge.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36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full-year sequence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4 core subjects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Math, ELA, science, social studies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Flexible Fridays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Review, projects, field trips, catch-up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EEF8EA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45A735"/>
                <w:sz w:val="26"/>
              </w:rPr>
              <w:t>Printable-friendly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Worksheets, notes, and progress checks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PLAN AT A GLANCE</w:t>
            </w:r>
          </w:p>
          <w:tbl>
            <w:tblPr>
              <w:tblW w:type="auto" w:w="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3600"/>
              <w:gridCol w:w="3600"/>
            </w:tblGrid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Grade band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Elementary School (K-5)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Suggested daily time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2.5-3.5 hours of focused academics, plus reading and physical activity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Core course path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Grade 3 Math, ELA, Science, and Social Studies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Assessment rhythm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End-of-unit checks plus four quarterly reviews</w:t>
                  </w:r>
                </w:p>
              </w:tc>
            </w:tr>
            <w:tr>
              <w:tc>
                <w:tcPr>
                  <w:tcW w:type="dxa" w:w="1944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6"/>
                    </w:rPr>
                    <w:t>Recommended pace</w:t>
                  </w:r>
                </w:p>
              </w:tc>
              <w:tc>
                <w:tcPr>
                  <w:tcW w:type="dxa" w:w="4680"/>
                  <w:tcBorders>
                    <w:top w:val="nil"/>
                    <w:left w:val="nil"/>
                    <w:bottom w:val="nil"/>
                    <w:right w:val="nil"/>
                  </w:tcBorders>
                  <w:shd w:fill="F7F9FC" w:val="clear"/>
                  <w:tcMar>
                    <w:top w:w="55" w:type="dxa"/>
                    <w:start w:w="75" w:type="dxa"/>
                    <w:bottom w:w="55" w:type="dxa"/>
                    <w:end w:w="7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6"/>
                    </w:rPr>
                    <w:t>Four focused learning days and one flexible day each week</w:t>
                  </w:r>
                </w:p>
              </w:tc>
            </w:tr>
          </w:tbl>
          <w:p/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5" w:type="dxa"/>
              <w:end w:w="135" w:type="dxa"/>
            </w:tcMar>
            <w:shd w:fill="EEF8EA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HOW TO USE THIS PLAN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1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Preview the quarter: </w:t>
            </w:r>
            <w:r>
              <w:rPr>
                <w:rFonts w:ascii="Lato" w:hAnsi="Lato" w:eastAsia="Lato"/>
                <w:color w:val="24344D"/>
                <w:sz w:val="16"/>
              </w:rPr>
              <w:t>Skim the next nine weeks and gather books, printables, and simple materials.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2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Teach the weekly focus: </w:t>
            </w:r>
            <w:r>
              <w:rPr>
                <w:rFonts w:ascii="Lato" w:hAnsi="Lato" w:eastAsia="Lato"/>
                <w:color w:val="24344D"/>
                <w:sz w:val="16"/>
              </w:rPr>
              <w:t>Use the topic as a learning target, then select practice at the student’s level.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3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Keep evidence: </w:t>
            </w:r>
            <w:r>
              <w:rPr>
                <w:rFonts w:ascii="Lato" w:hAnsi="Lato" w:eastAsia="Lato"/>
                <w:color w:val="24344D"/>
                <w:sz w:val="16"/>
              </w:rPr>
              <w:t>Save a few work samples, reading notes, lab pages, and project photos.</w:t>
            </w:r>
          </w:p>
          <w:p>
            <w:pPr>
              <w:spacing w:before="0" w:after="80" w:line="240" w:lineRule="auto"/>
              <w:ind w:left="29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 xml:space="preserve">4  </w:t>
            </w:r>
            <w:r>
              <w:rPr>
                <w:rFonts w:ascii="Lato" w:hAnsi="Lato" w:eastAsia="Lato"/>
                <w:b/>
                <w:color w:val="0B2A55"/>
                <w:sz w:val="17"/>
              </w:rPr>
              <w:t xml:space="preserve">Adjust without guilt: </w:t>
            </w:r>
            <w:r>
              <w:rPr>
                <w:rFonts w:ascii="Lato" w:hAnsi="Lato" w:eastAsia="Lato"/>
                <w:color w:val="24344D"/>
                <w:sz w:val="16"/>
              </w:rPr>
              <w:t>Repeat, shorten, reorder, or skip material when the learner’s needs call for it.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45A735"/>
          <w:sz w:val="18"/>
        </w:rPr>
        <w:t>SUGGESTED WEEKLY RHYTHM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Monday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Tuesday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Wednesday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Thursday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45A735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Friday</w:t>
            </w:r>
          </w:p>
        </w:tc>
      </w:tr>
      <w:tr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Introduce and model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Guided practice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Apply and discuss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Check mastery and extend</w:t>
            </w:r>
          </w:p>
        </w:tc>
        <w:tc>
          <w:tcPr>
            <w:tcW w:type="dxa" w:w="288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55" w:type="dxa"/>
              <w:start w:w="65" w:type="dxa"/>
              <w:bottom w:w="55" w:type="dxa"/>
              <w:end w:w="65" w:type="dxa"/>
            </w:tcMar>
          </w:tcPr>
          <w:p>
            <w:pPr>
              <w:jc w:val="center"/>
            </w:pPr>
            <w:r>
              <w:rPr>
                <w:rFonts w:ascii="Lato" w:hAnsi="Lato" w:eastAsia="Lato"/>
                <w:color w:val="24344D"/>
                <w:sz w:val="15"/>
              </w:rPr>
              <w:t>Project, review, catch-up, or field trip</w:t>
            </w:r>
          </w:p>
        </w:tc>
      </w:tr>
    </w:tbl>
    <w:p>
      <w:pPr>
        <w:spacing w:before="80" w:after="0"/>
      </w:pPr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This is a flexible, standards-informed sequence - not a state-certified curriculum, legal filing, or guarantee of credit. Verify homeschool, attendance, assessment, and graduation rules where you live.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1 | Weeks 1-9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1-9.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Multiplication concepts and facts / Division concepts and fact families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Reading routines, fluency, and vocabulary / Story elements, character, and theme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Forces, motion, and balanced forces / Magnetism and engineering design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Geographic tools and regions / Local and state history inquiry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Multiplication concepts and facts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Reading routines, fluency, and vocabulary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Forces, motion, and balanced forces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Geographic tools and regions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Multiplication Strategy Board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Multiplication concepts and facts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Reading routines, fluency, and vocabulary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Forces, motion, and balanced forces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Geographic tools and regions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Multiplication Strategy Board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Multiplication concepts and facts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Reading routines, fluency, and vocabulary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Forces, motion, and balanced forces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Geographic tools and regions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Multiplication Strategy Board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Multiplication concepts and facts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Reading routines, fluency, and vocabulary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Forces, motion, and balanced forces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Geographic tools and regions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Multiplication Strategy Board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Division concepts and fact families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Story elements, character, and theme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Magnetism and engineering design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Local and state history inquiry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Motion and Magnet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Division concepts and fact families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Story elements, character, and theme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Magnetism and engineering design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Local and state history inquiry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Motion and Magnet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Division concepts and fact families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Story elements, character, and theme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Magnetism and engineering design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Local and state history inquiry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Motion and Magnet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Division concepts and fact families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Story elements, character, and theme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Magnetism and engineering design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Local and state history inquiry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Motion and Magnet Challenge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2 | Weeks 10-18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10-18.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Properties, patterns, and problem solving / Fractions on number lines and in wholes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Informational text, main idea, and details / Text structures and comparing sources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Plant and animal life cycles / Inheritance, variation, and traits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Indigenous peoples and place / Migration, communities, and exchange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Properties, patterns, and problem solving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Informational text, main idea, and details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Plant and animal life cycles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Indigenous peoples and place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Life-Cycle Journal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Properties, patterns, and problem solving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Informational text, main idea, and details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Plant and animal life cycles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Indigenous peoples and place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Life-Cycle Journal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Properties, patterns, and problem solving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Informational text, main idea, and details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Plant and animal life cycles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Indigenous peoples and place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Life-Cycle Journal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Properties, patterns, and problem solving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Informational text, main idea, and details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Plant and animal life cycles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Indigenous peoples and place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Life-Cycle Journal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Fractions on number lines and in wholes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Text structures and comparing sources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Inheritance, variation, and traits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Migration, communities, and exchange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Local History Map and Timeline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Fractions on number lines and in wholes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Text structures and comparing sources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Inheritance, variation, and traits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Migration, communities, and exchange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Local History Map and Timeline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Fractions on number lines and in wholes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Text structures and comparing sources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Inheritance, variation, and traits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Migration, communities, and exchange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Local History Map and Timeline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17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Fractions on number lines and in wholes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Text structures and comparing sources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Inheritance, variation, and traits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Migration, communities, and exchange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Local History Map and Timeline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3 | Weeks 19-27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19-27.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Equivalent fractions and comparison / Area, perimeter, and measurement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Narrative writing and dialogue / Opinion writing with reasons and evidence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Ecosystems and environmental change / Weather, climate, and data patterns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Local and state government / Resources, trade, producers, and consumers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19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Equivalent fractions and comparison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Narrative writing and dialogue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Ecosystems and environmental change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Local and state government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Fraction Recipe or Art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20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Equivalent fractions and comparison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Narrative writing and dialogue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Ecosystems and environmental change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Local and state government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Fraction Recipe or Art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21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Equivalent fractions and comparison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Narrative writing and dialogue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Ecosystems and environmental change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Local and state government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Fraction Recipe or Art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22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Equivalent fractions and comparison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Narrative writing and dialogue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Ecosystems and environmental change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Local and state government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Fraction Recipe or Art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23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Area, perimeter, and measurement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Opinion writing with reasons and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Weather, climate, and data patterns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Resources, trade, producers, and consumers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Weather Data Report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24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Area, perimeter, and measurement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Opinion writing with reasons and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Weather, climate, and data patterns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Resources, trade, producers, and consumers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Weather Data Report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25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Area, perimeter, and measurement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Opinion writing with reasons and evidence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Weather, climate, and data patterns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Resources, trade, producers, and consumers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Weather Data Report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26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Area, perimeter, and measurement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Opinion writing with reasons and evidence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Weather, climate, and data patterns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Resources, trade, producers, and consumers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Weather Data Report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27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Quarter 4 | Weeks 28-36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Two four-week learning units plus a review and showcase week. Weeks 28-36.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MATH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Time, mass, volume, and data / Geometry, multistep problems, and Grade 4 readiness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ELA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Informative writing, research, and notes / Grammar, revision, speaking, and portfolio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SCIENCE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Rocks, fossils, and Earth history / Solutions for environmental challenges</w:t>
            </w:r>
          </w:p>
        </w:tc>
        <w:tc>
          <w:tcPr>
            <w:tcW w:type="dxa" w:w="3571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before="0" w:after="4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>SOCIAL STUDIES FOCUS</w:t>
            </w:r>
          </w:p>
          <w:p>
            <w:pPr>
              <w:spacing w:before="0" w:after="0" w:line="228" w:lineRule="auto"/>
            </w:pPr>
            <w:r>
              <w:rPr>
                <w:rFonts w:ascii="Lato" w:hAnsi="Lato" w:eastAsia="Lato"/>
                <w:color w:val="24344D"/>
                <w:sz w:val="14"/>
              </w:rPr>
              <w:t>Sources, timelines, and perspectives / Civic action and community improvement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0"/>
        <w:gridCol w:w="2400"/>
        <w:gridCol w:w="2400"/>
        <w:gridCol w:w="2400"/>
        <w:gridCol w:w="2400"/>
        <w:gridCol w:w="2400"/>
      </w:tblGrid>
      <w:tr>
        <w:trPr>
          <w:tblHeader w:val="true"/>
        </w:trPr>
        <w:tc>
          <w:tcPr>
            <w:tcW w:type="dxa" w:w="691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ELA</w:t>
            </w:r>
          </w:p>
        </w:tc>
        <w:tc>
          <w:tcPr>
            <w:tcW w:type="dxa" w:w="2563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</w:t>
            </w:r>
          </w:p>
        </w:tc>
        <w:tc>
          <w:tcPr>
            <w:tcW w:type="dxa" w:w="2649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Social Studies</w:t>
            </w:r>
          </w:p>
        </w:tc>
        <w:tc>
          <w:tcPr>
            <w:tcW w:type="dxa" w:w="2764"/>
            <w:shd w:fill="45A735" w:val="clear"/>
            <w:tcMar>
              <w:top w:w="70" w:type="dxa"/>
              <w:start w:w="55" w:type="dxa"/>
              <w:bottom w:w="70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Family / Project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28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Time, mass, volume, and data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Informative writing, research, and notes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Rocks, fossils, and Earth history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Sources, timelines, and perspectives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Community Trade Fair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29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Time, mass, volume, and data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Informative writing, research, and notes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Rocks, fossils, and Earth history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Sources, timelines, and perspectives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Community Trade Fair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30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Time, mass, volume, and data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Informative writing, research, and notes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Rocks, fossils, and Earth history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Sources, timelines, and perspectives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Community Trade Fair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31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Time, mass, volume, and data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Informative writing, research, and notes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Rocks, fossils, and Earth history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Sources, timelines, and perspectives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Community Trade Fair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32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Explore &amp; model: Geometry, multistep problems, and Grade 4 readiness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&amp; notice: Grammar, revision, speaking,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&amp; question: Solutions for environmental challenges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Ask &amp; source: Civic action and community improvement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Plan: Grade 3 Inquiry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33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Guided practice: Geometry, multistep problems, and Grade 4 readiness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Discuss &amp; practice: Grammar, revision, speaking,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Investigate &amp; model: Solutions for environmental challenges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Map/timeline &amp; analyze: Civic action and community improvement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Build: Grade 3 Inquiry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34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&amp; solve: Geometry, multistep problems, and Grade 4 readiness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&amp; apply: Grammar, revision, speaking, and portfolio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Explain from evidence: Solutions for environmental challenges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Compare perspectives: Civic action and community improvement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Refine: Grade 3 Inquiry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35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Mastery check: Geometry, multistep problems, and Grade 4 readiness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 &amp; extend: Grammar, revision, speaking, and portfolio</w:t>
            </w:r>
          </w:p>
        </w:tc>
        <w:tc>
          <w:tcPr>
            <w:tcW w:type="dxa" w:w="2563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Reflect &amp; design: Solutions for environmental challenges</w:t>
            </w:r>
          </w:p>
        </w:tc>
        <w:tc>
          <w:tcPr>
            <w:tcW w:type="dxa" w:w="2649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Communicate &amp; connect: Civic action and community improvement</w:t>
            </w:r>
          </w:p>
        </w:tc>
        <w:tc>
          <w:tcPr>
            <w:tcW w:type="dxa" w:w="2764"/>
            <w:vAlign w:val="center"/>
            <w:shd w:fill="F7F9FC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Share: Grade 3 Inquiry Showcase</w:t>
            </w:r>
          </w:p>
        </w:tc>
      </w:tr>
      <w:tr>
        <w:trPr>
          <w:cantSplit/>
        </w:trPr>
        <w:tc>
          <w:tcPr>
            <w:tcW w:type="dxa" w:w="691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36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Spiral review, fluency check, and applied task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Portfolio check, reading conference, and polished writing</w:t>
            </w:r>
          </w:p>
        </w:tc>
        <w:tc>
          <w:tcPr>
            <w:tcW w:type="dxa" w:w="2563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Concept map, evidence explanation, and investigation reflection</w:t>
            </w:r>
          </w:p>
        </w:tc>
        <w:tc>
          <w:tcPr>
            <w:tcW w:type="dxa" w:w="2649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Source analysis, map/timeline review, and discussion</w:t>
            </w:r>
          </w:p>
        </w:tc>
        <w:tc>
          <w:tcPr>
            <w:tcW w:type="dxa" w:w="2764"/>
            <w:vAlign w:val="center"/>
            <w:shd w:fill="FFFFFF" w:val="clear"/>
            <w:tcMar>
              <w:top w:w="50" w:type="dxa"/>
              <w:start w:w="58" w:type="dxa"/>
              <w:bottom w:w="50" w:type="dxa"/>
              <w:end w:w="58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26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Quarter showcase, goal reset, and flexible catch-up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KEEP  </w:t>
            </w:r>
            <w:r>
              <w:rPr>
                <w:rFonts w:ascii="Lato" w:hAnsi="Lato" w:eastAsia="Lato"/>
                <w:color w:val="24344D"/>
                <w:sz w:val="15"/>
              </w:rPr>
              <w:t>Which routines and resources worked well?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ADJUST  </w:t>
            </w:r>
            <w:r>
              <w:rPr>
                <w:rFonts w:ascii="Lato" w:hAnsi="Lato" w:eastAsia="Lato"/>
                <w:color w:val="24344D"/>
                <w:sz w:val="15"/>
              </w:rPr>
              <w:t>Which skill needs more time or a different approach?</w:t>
            </w:r>
          </w:p>
        </w:tc>
        <w:tc>
          <w:tcPr>
            <w:tcW w:type="dxa" w:w="4752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EEF8EA" w:val="clear"/>
            <w:tcMar>
              <w:top w:w="60" w:type="dxa"/>
              <w:start w:w="80" w:type="dxa"/>
              <w:bottom w:w="55" w:type="dxa"/>
              <w:end w:w="80" w:type="dxa"/>
            </w:tcMar>
          </w:tcPr>
          <w:p>
            <w:pPr>
              <w:spacing w:before="0" w:after="0" w:line="240" w:lineRule="auto"/>
            </w:pPr>
            <w:r>
              <w:rPr>
                <w:rFonts w:ascii="Lato" w:hAnsi="Lato" w:eastAsia="Lato"/>
                <w:b/>
                <w:color w:val="45A735"/>
                <w:sz w:val="15"/>
              </w:rPr>
              <w:t xml:space="preserve">CELEBRATE  </w:t>
            </w:r>
            <w:r>
              <w:rPr>
                <w:rFonts w:ascii="Lato" w:hAnsi="Lato" w:eastAsia="Lato"/>
                <w:color w:val="24344D"/>
                <w:sz w:val="15"/>
              </w:rPr>
              <w:t>Choose one work sample that shows meaningful growth.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Teaching Routine, Progress Tracker, and Resources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this page throughout the year; print extra copies of the tracker as needed.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45A735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A SIMPLE DAILY LEARNING BLOCK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</w:tblPr>
            <w:tblGrid>
              <w:gridCol w:w="2376"/>
              <w:gridCol w:w="2376"/>
              <w:gridCol w:w="2376"/>
            </w:tblGrid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1. Warm up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5-15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Quick review, read-aloud, mental math, or vocabulary.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2. Teach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15-35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Model one clear objective with examples, text, or demonstration.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3. Practice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15-45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Use online skills, discussion, writing, lab work, or a printable.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4. Apply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10-35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FFFFFF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Solve, explain, create, investigate, compare, or teach it back.</w:t>
                  </w:r>
                </w:p>
              </w:tc>
            </w:tr>
            <w:tr>
              <w:tc>
                <w:tcPr>
                  <w:tcW w:type="dxa" w:w="1440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b/>
                      <w:color w:val="0B2A55"/>
                      <w:sz w:val="15"/>
                    </w:rPr>
                    <w:t>5. Record</w:t>
                  </w:r>
                </w:p>
              </w:tc>
              <w:tc>
                <w:tcPr>
                  <w:tcW w:type="dxa" w:w="1036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pPr>
                    <w:jc w:val="center"/>
                  </w:pPr>
                  <w:r>
                    <w:rPr>
                      <w:rFonts w:ascii="Lato" w:hAnsi="Lato" w:eastAsia="Lato"/>
                      <w:b/>
                      <w:color w:val="45A735"/>
                      <w:sz w:val="15"/>
                    </w:rPr>
                    <w:t>2-5 min</w:t>
                  </w:r>
                </w:p>
              </w:tc>
              <w:tc>
                <w:tcPr>
                  <w:tcW w:type="dxa" w:w="4031"/>
                  <w:tcBorders>
                    <w:top w:val="nil"/>
                    <w:left w:val="nil"/>
                    <w:bottom w:val="nil"/>
                    <w:right w:val="nil"/>
                  </w:tcBorders>
                  <w:shd w:fill="EEF8EA" w:val="clear"/>
                  <w:tcMar>
                    <w:top w:w="45" w:type="dxa"/>
                    <w:start w:w="55" w:type="dxa"/>
                    <w:bottom w:w="45" w:type="dxa"/>
                    <w:end w:w="55" w:type="dxa"/>
                  </w:tcMar>
                </w:tcPr>
                <w:p>
                  <w:r>
                    <w:rPr>
                      <w:rFonts w:ascii="Lato" w:hAnsi="Lato" w:eastAsia="Lato"/>
                      <w:color w:val="24344D"/>
                      <w:sz w:val="15"/>
                    </w:rPr>
                    <w:t>Mark progress and save one useful piece of evidence when appropriate.</w:t>
                  </w:r>
                </w:p>
              </w:tc>
            </w:tr>
          </w:tbl>
          <w:p/>
        </w:tc>
        <w:tc>
          <w:tcPr>
            <w:tcW w:type="dxa" w:w="7128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90" w:type="dxa"/>
              <w:start w:w="110" w:type="dxa"/>
              <w:bottom w:w="85" w:type="dxa"/>
              <w:end w:w="110" w:type="dxa"/>
            </w:tcMar>
            <w:shd w:fill="EEF8EA" w:val="clear"/>
          </w:tcPr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45A735"/>
                <w:sz w:val="18"/>
              </w:rPr>
              <w:t>ADAPT THE PLAN TO THE LEARNER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hard: </w:t>
            </w:r>
            <w:r>
              <w:rPr>
                <w:rFonts w:ascii="Lato" w:hAnsi="Lato" w:eastAsia="Lato"/>
                <w:color w:val="24344D"/>
                <w:sz w:val="15"/>
              </w:rPr>
              <w:t>Reduce the amount, model more examples, use concrete materials, and revisit prerequisites.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When work is too easy: </w:t>
            </w:r>
            <w:r>
              <w:rPr>
                <w:rFonts w:ascii="Lato" w:hAnsi="Lato" w:eastAsia="Lato"/>
                <w:color w:val="24344D"/>
                <w:sz w:val="15"/>
              </w:rPr>
              <w:t>Compact repeated practice, ask for deeper explanations, and add authentic projects or advanced text.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attention or stamina: </w:t>
            </w:r>
            <w:r>
              <w:rPr>
                <w:rFonts w:ascii="Lato" w:hAnsi="Lato" w:eastAsia="Lato"/>
                <w:color w:val="24344D"/>
                <w:sz w:val="15"/>
              </w:rPr>
              <w:t>Use shorter blocks, movement breaks, choice, timers, and a visible checklist.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reading support: </w:t>
            </w:r>
            <w:r>
              <w:rPr>
                <w:rFonts w:ascii="Lato" w:hAnsi="Lato" w:eastAsia="Lato"/>
                <w:color w:val="24344D"/>
                <w:sz w:val="15"/>
              </w:rPr>
              <w:t>Read directions aloud, use audio plus print, preteach vocabulary, and accept oral responses when appropriate.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For advanced independence: </w:t>
            </w:r>
            <w:r>
              <w:rPr>
                <w:rFonts w:ascii="Lato" w:hAnsi="Lato" w:eastAsia="Lato"/>
                <w:color w:val="24344D"/>
                <w:sz w:val="15"/>
              </w:rPr>
              <w:t>Let the student plan part of the week, select resources, track data, and lead conferences.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45A735"/>
          <w:sz w:val="18"/>
        </w:rPr>
        <w:t>QUARTERLY PROGRESS TRACKER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057"/>
        <w:gridCol w:w="2057"/>
        <w:gridCol w:w="2057"/>
        <w:gridCol w:w="2057"/>
        <w:gridCol w:w="2057"/>
        <w:gridCol w:w="2057"/>
        <w:gridCol w:w="2057"/>
      </w:tblGrid>
      <w:tr>
        <w:tc>
          <w:tcPr>
            <w:tcW w:type="dxa" w:w="1440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Checkpoint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Math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ELA</w:t>
            </w:r>
          </w:p>
        </w:tc>
        <w:tc>
          <w:tcPr>
            <w:tcW w:type="dxa" w:w="1655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Science</w:t>
            </w:r>
          </w:p>
        </w:tc>
        <w:tc>
          <w:tcPr>
            <w:tcW w:type="dxa" w:w="1800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Social Studies</w:t>
            </w:r>
          </w:p>
        </w:tc>
        <w:tc>
          <w:tcPr>
            <w:tcW w:type="dxa" w:w="3096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Portfolio evidence</w:t>
            </w:r>
          </w:p>
        </w:tc>
        <w:tc>
          <w:tcPr>
            <w:tcW w:type="dxa" w:w="2951"/>
            <w:shd w:fill="45A735" w:val="clear"/>
            <w:tcMar>
              <w:top w:w="55" w:type="dxa"/>
              <w:start w:w="45" w:type="dxa"/>
              <w:bottom w:w="55" w:type="dxa"/>
              <w:end w:w="4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5"/>
              </w:rPr>
              <w:t>Next priority</w:t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9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18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27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FFFFF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  <w:tr>
        <w:tc>
          <w:tcPr>
            <w:tcW w:type="dxa" w:w="144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0B2A55"/>
                <w:sz w:val="15"/>
              </w:rPr>
              <w:t>Week 36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655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1800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  <w:t>[  ] On track   [  ] Revisit</w:t>
            </w:r>
          </w:p>
        </w:tc>
        <w:tc>
          <w:tcPr>
            <w:tcW w:type="dxa" w:w="3096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  <w:tc>
          <w:tcPr>
            <w:tcW w:type="dxa" w:w="2951"/>
            <w:shd w:fill="F7F9FC" w:val="clear"/>
            <w:tcMar>
              <w:top w:w="78" w:type="dxa"/>
              <w:start w:w="50" w:type="dxa"/>
              <w:bottom w:w="78" w:type="dxa"/>
              <w:end w:w="5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r>
              <w:rPr>
                <w:rFonts w:ascii="Lato" w:hAnsi="Lato" w:eastAsia="Lato"/>
                <w:color w:val="5E6B7D"/>
                <w:sz w:val="14"/>
              </w:rPr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EFF7FF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868C9"/>
                <w:sz w:val="17"/>
              </w:rPr>
              <w:t>FREE K-12 PRACTICE RESOURCES</w:t>
            </w:r>
          </w:p>
          <w:p>
            <w:pPr>
              <w:spacing w:before="0" w:after="0" w:line="240" w:lineRule="auto"/>
            </w:pPr>
            <w:hyperlink r:id="rId11">
              <w:r>
                <w:rPr>
                  <w:rFonts w:ascii="Lato" w:hAnsi="Lato"/>
                  <w:color w:val="0868C9"/>
                  <w:u w:val="single"/>
                  <w:sz w:val="18"/>
                </w:rPr>
                <w:t>Free K-12 Practice home</w:t>
              </w:r>
            </w:hyperlink>
            <w:r>
              <w:t xml:space="preserve">   |   </w:t>
            </w:r>
            <w:hyperlink r:id="rId12">
              <w:r>
                <w:rPr>
                  <w:rFonts w:ascii="Lato" w:hAnsi="Lato"/>
                  <w:color w:val="0868C9"/>
                  <w:u w:val="single"/>
                  <w:sz w:val="18"/>
                </w:rPr>
                <w:t>Math practice</w:t>
              </w:r>
            </w:hyperlink>
            <w:r>
              <w:t xml:space="preserve">   |   </w:t>
            </w:r>
            <w:hyperlink r:id="rId13">
              <w:r>
                <w:rPr>
                  <w:rFonts w:ascii="Lato" w:hAnsi="Lato"/>
                  <w:color w:val="0868C9"/>
                  <w:u w:val="single"/>
                  <w:sz w:val="18"/>
                </w:rPr>
                <w:t>English / ELA practice</w:t>
              </w:r>
            </w:hyperlink>
            <w:r>
              <w:t xml:space="preserve">   |   </w:t>
            </w:r>
            <w:hyperlink r:id="rId14">
              <w:r>
                <w:rPr>
                  <w:rFonts w:ascii="Lato" w:hAnsi="Lato"/>
                  <w:color w:val="0868C9"/>
                  <w:u w:val="single"/>
                  <w:sz w:val="18"/>
                </w:rPr>
                <w:t>Science practice</w:t>
              </w:r>
            </w:hyperlink>
            <w:r>
              <w:t xml:space="preserve">   |   </w:t>
            </w:r>
            <w:hyperlink r:id="rId15">
              <w:r>
                <w:rPr>
                  <w:rFonts w:ascii="Lato" w:hAnsi="Lato"/>
                  <w:color w:val="0868C9"/>
                  <w:u w:val="single"/>
                  <w:sz w:val="18"/>
                </w:rPr>
                <w:t>Social studies practice</w:t>
              </w:r>
            </w:hyperlink>
            <w:r>
              <w:t xml:space="preserve">   |   </w:t>
            </w:r>
            <w:hyperlink r:id="rId16">
              <w:r>
                <w:rPr>
                  <w:rFonts w:ascii="Lato" w:hAnsi="Lato"/>
                  <w:color w:val="0868C9"/>
                  <w:u w:val="single"/>
                  <w:sz w:val="18"/>
                </w:rPr>
                <w:t>Printable worksheets</w:t>
              </w:r>
            </w:hyperlink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tcMar>
              <w:top w:w="70" w:type="dxa"/>
              <w:start w:w="85" w:type="dxa"/>
              <w:bottom w:w="60" w:type="dxa"/>
              <w:end w:w="85" w:type="dxa"/>
            </w:tcMar>
            <w:shd w:fill="F7F9FC" w:val="clear"/>
          </w:tcPr>
          <w:p>
            <w:pPr>
              <w:spacing w:before="0" w:after="60" w:line="240" w:lineRule="auto"/>
            </w:pPr>
            <w:r>
              <w:rPr>
                <w:rFonts w:ascii="Lato" w:hAnsi="Lato" w:eastAsia="Lato"/>
                <w:b/>
                <w:color w:val="0B2A55"/>
                <w:sz w:val="17"/>
              </w:rPr>
              <w:t>STANDARDS AND LOCAL REQUIREMENTS</w:t>
            </w:r>
          </w:p>
          <w:p>
            <w:pPr>
              <w:spacing w:before="0" w:after="20" w:line="240" w:lineRule="auto"/>
            </w:pPr>
            <w:hyperlink r:id="rId17">
              <w:r>
                <w:rPr>
                  <w:rFonts w:ascii="Lato" w:hAnsi="Lato"/>
                  <w:color w:val="0B2A55"/>
                  <w:u w:val="single"/>
                  <w:sz w:val="18"/>
                </w:rPr>
                <w:t>Common Core mathematics and ELA</w:t>
              </w:r>
            </w:hyperlink>
            <w:r>
              <w:t xml:space="preserve">   |   </w:t>
            </w:r>
            <w:hyperlink r:id="rId18">
              <w:r>
                <w:rPr>
                  <w:rFonts w:ascii="Lato" w:hAnsi="Lato"/>
                  <w:color w:val="0B2A55"/>
                  <w:u w:val="single"/>
                  <w:sz w:val="18"/>
                </w:rPr>
                <w:t>Next Generation Science Standards</w:t>
              </w:r>
            </w:hyperlink>
            <w:r>
              <w:t xml:space="preserve">   |   </w:t>
            </w:r>
            <w:hyperlink r:id="rId19">
              <w:r>
                <w:rPr>
                  <w:rFonts w:ascii="Lato" w:hAnsi="Lato"/>
                  <w:color w:val="0B2A55"/>
                  <w:u w:val="single"/>
                  <w:sz w:val="18"/>
                </w:rPr>
                <w:t>C3 Framework for Social Studies</w:t>
              </w:r>
            </w:hyperlink>
          </w:p>
          <w:p>
            <w:r>
              <w:rPr>
                <w:rFonts w:ascii="Lato" w:hAnsi="Lato" w:eastAsia="Lato"/>
                <w:i/>
                <w:color w:val="5E6B7D"/>
                <w:sz w:val="15"/>
              </w:rPr>
              <w:t>Frameworks describe learning expectations; families should verify state-specific content, attendance, testing, recordkeeping, and graduation rules.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45A735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45A735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45A735"/>
              <w:sz w:val="17"/>
            </w:rPr>
            <w:t>GRADE 3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Relationship Id="rId17" Type="http://schemas.openxmlformats.org/officeDocument/2006/relationships/hyperlink" Target="https://corestandards.org/" TargetMode="External"/><Relationship Id="rId18" Type="http://schemas.openxmlformats.org/officeDocument/2006/relationships/hyperlink" Target="https://www.nextgenscience.org/standards" TargetMode="External"/><Relationship Id="rId19" Type="http://schemas.openxmlformats.org/officeDocument/2006/relationships/hyperlink" Target="https://www.socialstudies.org/standards/c3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3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